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eastAsia"/>
          <w:sz w:val="56"/>
          <w:szCs w:val="56"/>
        </w:rPr>
      </w:pPr>
    </w:p>
    <w:p>
      <w:pPr>
        <w:pStyle w:val="15"/>
        <w:jc w:val="center"/>
        <w:rPr>
          <w:sz w:val="84"/>
          <w:szCs w:val="84"/>
        </w:rPr>
      </w:pPr>
    </w:p>
    <w:p>
      <w:pPr>
        <w:pStyle w:val="15"/>
        <w:jc w:val="center"/>
        <w:rPr>
          <w:rFonts w:hint="eastAsia"/>
          <w:sz w:val="84"/>
          <w:szCs w:val="84"/>
        </w:rPr>
      </w:pPr>
    </w:p>
    <w:p>
      <w:pPr>
        <w:pStyle w:val="15"/>
        <w:jc w:val="center"/>
        <w:rPr>
          <w:rFonts w:hint="eastAsia"/>
          <w:sz w:val="84"/>
          <w:szCs w:val="84"/>
        </w:rPr>
      </w:pPr>
    </w:p>
    <w:p>
      <w:pPr>
        <w:pStyle w:val="15"/>
        <w:jc w:val="center"/>
        <w:rPr>
          <w:sz w:val="84"/>
          <w:szCs w:val="84"/>
        </w:rPr>
      </w:pPr>
    </w:p>
    <w:p>
      <w:pPr>
        <w:pStyle w:val="15"/>
        <w:jc w:val="center"/>
        <w:rPr>
          <w:rFonts w:ascii="方正小标宋简体" w:eastAsia="方正小标宋简体"/>
          <w:sz w:val="72"/>
          <w:szCs w:val="84"/>
        </w:rPr>
      </w:pPr>
      <w:r>
        <w:rPr>
          <w:rFonts w:hint="eastAsia" w:ascii="方正小标宋简体" w:eastAsia="方正小标宋简体"/>
          <w:sz w:val="72"/>
          <w:szCs w:val="84"/>
        </w:rPr>
        <w:t>202</w:t>
      </w:r>
      <w:r>
        <w:rPr>
          <w:rFonts w:hint="default" w:ascii="方正小标宋简体" w:eastAsia="方正小标宋简体"/>
          <w:sz w:val="72"/>
          <w:szCs w:val="84"/>
          <w:lang w:val="en" w:eastAsia="zh-CN"/>
        </w:rPr>
        <w:t>3</w:t>
      </w:r>
      <w:r>
        <w:rPr>
          <w:rFonts w:hint="eastAsia" w:ascii="方正小标宋简体" w:eastAsia="方正小标宋简体"/>
          <w:sz w:val="72"/>
          <w:szCs w:val="84"/>
        </w:rPr>
        <w:t>年度</w:t>
      </w:r>
      <w:bookmarkStart w:id="2" w:name="_GoBack"/>
      <w:bookmarkEnd w:id="2"/>
    </w:p>
    <w:p>
      <w:pPr>
        <w:pStyle w:val="15"/>
        <w:jc w:val="center"/>
        <w:rPr>
          <w:rFonts w:hint="eastAsia" w:ascii="方正小标宋简体" w:eastAsia="方正小标宋简体"/>
          <w:sz w:val="72"/>
          <w:szCs w:val="84"/>
        </w:rPr>
      </w:pPr>
      <w:r>
        <w:rPr>
          <w:rFonts w:hint="eastAsia" w:ascii="方正小标宋简体" w:eastAsia="方正小标宋简体"/>
          <w:sz w:val="72"/>
          <w:szCs w:val="84"/>
          <w:lang w:eastAsia="zh-CN"/>
        </w:rPr>
        <w:t>株洲职业教育科技园管理办公室</w:t>
      </w:r>
      <w:r>
        <w:rPr>
          <w:rFonts w:hint="eastAsia" w:ascii="方正小标宋简体" w:eastAsia="方正小标宋简体"/>
          <w:sz w:val="72"/>
          <w:szCs w:val="84"/>
        </w:rPr>
        <w:t>部门决算</w:t>
      </w:r>
    </w:p>
    <w:p>
      <w:pPr>
        <w:pStyle w:val="15"/>
        <w:jc w:val="center"/>
        <w:rPr>
          <w:rFonts w:hint="eastAsia" w:ascii="方正小标宋简体" w:eastAsia="方正小标宋简体"/>
          <w:sz w:val="72"/>
          <w:szCs w:val="84"/>
        </w:rPr>
      </w:pPr>
    </w:p>
    <w:p>
      <w:pPr>
        <w:pStyle w:val="15"/>
        <w:jc w:val="center"/>
        <w:rPr>
          <w:rFonts w:hint="eastAsia" w:ascii="方正小标宋简体" w:eastAsia="方正小标宋简体"/>
          <w:sz w:val="72"/>
          <w:szCs w:val="84"/>
        </w:rPr>
      </w:pPr>
    </w:p>
    <w:p>
      <w:pPr>
        <w:tabs>
          <w:tab w:val="left" w:pos="7560"/>
        </w:tabs>
        <w:adjustRightInd w:val="0"/>
        <w:snapToGrid w:val="0"/>
        <w:spacing w:line="560" w:lineRule="exact"/>
        <w:jc w:val="center"/>
        <w:rPr>
          <w:b/>
          <w:sz w:val="44"/>
          <w:szCs w:val="44"/>
        </w:rPr>
      </w:pPr>
      <w:r>
        <w:rPr>
          <w:rFonts w:hint="eastAsia" w:ascii="方正小标宋简体" w:eastAsia="方正小标宋简体"/>
          <w:sz w:val="72"/>
          <w:szCs w:val="84"/>
        </w:rPr>
        <w:br w:type="page"/>
      </w:r>
      <w:r>
        <w:rPr>
          <w:rFonts w:hint="eastAsia"/>
          <w:b/>
          <w:sz w:val="44"/>
          <w:szCs w:val="44"/>
        </w:rPr>
        <w:t>目录</w:t>
      </w:r>
    </w:p>
    <w:p>
      <w:pPr>
        <w:pStyle w:val="15"/>
        <w:spacing w:line="560" w:lineRule="exact"/>
        <w:rPr>
          <w:rFonts w:hint="eastAsia" w:hAnsi="黑体" w:cs="仿宋_GB2312"/>
          <w:sz w:val="32"/>
          <w:szCs w:val="28"/>
        </w:rPr>
      </w:pPr>
      <w:r>
        <w:rPr>
          <w:rFonts w:hint="eastAsia" w:hAnsi="黑体"/>
          <w:sz w:val="32"/>
          <w:szCs w:val="28"/>
        </w:rPr>
        <w:t>第一部分</w:t>
      </w:r>
      <w:r>
        <w:rPr>
          <w:rFonts w:hint="eastAsia" w:hAnsi="黑体"/>
          <w:sz w:val="32"/>
          <w:szCs w:val="28"/>
          <w:lang w:eastAsia="zh-CN"/>
        </w:rPr>
        <w:t>株洲职业教育科技园管理办公室</w:t>
      </w:r>
      <w:r>
        <w:rPr>
          <w:rFonts w:hint="eastAsia" w:hAnsi="黑体"/>
          <w:sz w:val="32"/>
          <w:szCs w:val="28"/>
        </w:rPr>
        <w:t>单位概况</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一、部门职责</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二、机构设置</w:t>
      </w:r>
    </w:p>
    <w:p>
      <w:pPr>
        <w:pStyle w:val="15"/>
        <w:spacing w:line="560" w:lineRule="exact"/>
        <w:rPr>
          <w:rFonts w:hint="eastAsia" w:hAnsi="黑体"/>
          <w:sz w:val="32"/>
          <w:szCs w:val="28"/>
        </w:rPr>
      </w:pPr>
      <w:r>
        <w:rPr>
          <w:rFonts w:hint="eastAsia" w:hAnsi="黑体"/>
          <w:sz w:val="32"/>
          <w:szCs w:val="28"/>
        </w:rPr>
        <w:t>第二部分202</w:t>
      </w:r>
      <w:r>
        <w:rPr>
          <w:rFonts w:hint="default" w:hAnsi="黑体"/>
          <w:sz w:val="32"/>
          <w:szCs w:val="28"/>
          <w:lang w:val="en" w:eastAsia="zh-CN"/>
        </w:rPr>
        <w:t>3</w:t>
      </w:r>
      <w:r>
        <w:rPr>
          <w:rFonts w:hint="eastAsia" w:hAnsi="黑体"/>
          <w:sz w:val="32"/>
          <w:szCs w:val="28"/>
        </w:rPr>
        <w:t>年度部门决算表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一、收入支出决算总表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二、收入决算表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三、支出决算表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四、财政拨款收入支出决算总表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五、一般公共预算财政拨款支出决算表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六、一般公共预算财政拨款基本支出决算表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七、一般公共预算财政拨款“三公”经费支出决算表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八、政府性基金预算财政拨款收入支出决算表</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九、国有资本经营预算财政拨款支出决算表</w:t>
      </w:r>
    </w:p>
    <w:p>
      <w:pPr>
        <w:pStyle w:val="15"/>
        <w:spacing w:line="560" w:lineRule="exact"/>
        <w:rPr>
          <w:rFonts w:hint="eastAsia" w:hAnsi="黑体"/>
          <w:sz w:val="32"/>
          <w:szCs w:val="28"/>
        </w:rPr>
      </w:pPr>
      <w:r>
        <w:rPr>
          <w:rFonts w:hint="eastAsia" w:hAnsi="黑体"/>
          <w:sz w:val="32"/>
          <w:szCs w:val="28"/>
        </w:rPr>
        <w:t>第三部分202</w:t>
      </w:r>
      <w:r>
        <w:rPr>
          <w:rFonts w:hint="default" w:hAnsi="黑体"/>
          <w:sz w:val="32"/>
          <w:szCs w:val="28"/>
          <w:lang w:val="en" w:eastAsia="zh-CN"/>
        </w:rPr>
        <w:t>3</w:t>
      </w:r>
      <w:r>
        <w:rPr>
          <w:rFonts w:hint="eastAsia" w:hAnsi="黑体"/>
          <w:sz w:val="32"/>
          <w:szCs w:val="28"/>
        </w:rPr>
        <w:t>年度部门决算情况说明</w:t>
      </w:r>
    </w:p>
    <w:p>
      <w:pPr>
        <w:pStyle w:val="15"/>
        <w:spacing w:line="560" w:lineRule="exact"/>
        <w:ind w:firstLine="800" w:firstLineChars="250"/>
        <w:rPr>
          <w:rFonts w:hint="eastAsia" w:ascii="仿宋_GB2312" w:hAnsi="宋体" w:eastAsia="仿宋_GB2312" w:cs="仿宋_GB2312"/>
          <w:sz w:val="32"/>
          <w:szCs w:val="28"/>
        </w:rPr>
      </w:pPr>
      <w:r>
        <w:rPr>
          <w:rFonts w:hint="eastAsia" w:ascii="仿宋_GB2312" w:hAnsi="宋体" w:eastAsia="仿宋_GB2312" w:cs="仿宋_GB2312"/>
          <w:sz w:val="32"/>
          <w:szCs w:val="28"/>
        </w:rPr>
        <w:t>一、收入支出决算总体情况说明</w:t>
      </w:r>
    </w:p>
    <w:p>
      <w:pPr>
        <w:spacing w:line="560" w:lineRule="exact"/>
        <w:ind w:firstLine="800" w:firstLineChars="250"/>
        <w:jc w:val="left"/>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二、收入决算情况说明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三、支出决算情况说明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四、财政拨款收入支出决算总体情况说明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五、一般公共预算财政拨款支出决算情况说明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六、一般公共预算财政拨款基本支出决算情况说明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七、一般公共预算财政拨款三公经费支出决算情况说明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八、政府性基金预算收入支出决算情况说明</w:t>
      </w:r>
    </w:p>
    <w:p>
      <w:pPr>
        <w:autoSpaceDE w:val="0"/>
        <w:autoSpaceDN w:val="0"/>
        <w:adjustRightInd w:val="0"/>
        <w:spacing w:line="560" w:lineRule="exact"/>
        <w:ind w:firstLine="800" w:firstLineChars="250"/>
        <w:jc w:val="left"/>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九、国有资本经营预算支出决算情况说明</w:t>
      </w:r>
    </w:p>
    <w:p>
      <w:pPr>
        <w:autoSpaceDE w:val="0"/>
        <w:autoSpaceDN w:val="0"/>
        <w:adjustRightInd w:val="0"/>
        <w:spacing w:line="560" w:lineRule="exact"/>
        <w:ind w:firstLine="800" w:firstLineChars="250"/>
        <w:jc w:val="left"/>
        <w:rPr>
          <w:rFonts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十、机关运行经费支出说明</w:t>
      </w:r>
    </w:p>
    <w:p>
      <w:pPr>
        <w:autoSpaceDE w:val="0"/>
        <w:autoSpaceDN w:val="0"/>
        <w:adjustRightInd w:val="0"/>
        <w:spacing w:line="560" w:lineRule="exact"/>
        <w:ind w:firstLine="800" w:firstLineChars="250"/>
        <w:jc w:val="left"/>
        <w:rPr>
          <w:rFonts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十一、一般性支出情况说明</w:t>
      </w:r>
    </w:p>
    <w:p>
      <w:pPr>
        <w:autoSpaceDE w:val="0"/>
        <w:autoSpaceDN w:val="0"/>
        <w:adjustRightInd w:val="0"/>
        <w:spacing w:line="560" w:lineRule="exact"/>
        <w:ind w:firstLine="800" w:firstLineChars="250"/>
        <w:jc w:val="left"/>
        <w:rPr>
          <w:rFonts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十二、政府采购支出说明</w:t>
      </w:r>
    </w:p>
    <w:p>
      <w:pPr>
        <w:autoSpaceDE w:val="0"/>
        <w:autoSpaceDN w:val="0"/>
        <w:adjustRightInd w:val="0"/>
        <w:spacing w:line="560" w:lineRule="exact"/>
        <w:ind w:firstLine="800" w:firstLineChars="250"/>
        <w:jc w:val="left"/>
        <w:rPr>
          <w:rFonts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rPr>
        <w:t>十三、国有资产占用情况说明</w:t>
      </w:r>
    </w:p>
    <w:p>
      <w:pPr>
        <w:pStyle w:val="15"/>
        <w:spacing w:line="560" w:lineRule="exact"/>
        <w:ind w:firstLine="800" w:firstLineChars="25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十四、202</w:t>
      </w:r>
      <w:r>
        <w:rPr>
          <w:rFonts w:hint="default" w:ascii="仿宋_GB2312" w:hAnsi="仿宋_GB2312" w:eastAsia="仿宋_GB2312" w:cs="仿宋_GB2312"/>
          <w:sz w:val="32"/>
          <w:szCs w:val="28"/>
          <w:lang w:val="en" w:eastAsia="zh-CN"/>
        </w:rPr>
        <w:t>3</w:t>
      </w:r>
      <w:r>
        <w:rPr>
          <w:rFonts w:hint="eastAsia" w:ascii="仿宋_GB2312" w:hAnsi="仿宋_GB2312" w:eastAsia="仿宋_GB2312" w:cs="仿宋_GB2312"/>
          <w:sz w:val="32"/>
          <w:szCs w:val="28"/>
        </w:rPr>
        <w:t>年度预算绩效情况说明</w:t>
      </w:r>
    </w:p>
    <w:p>
      <w:pPr>
        <w:pStyle w:val="15"/>
        <w:spacing w:line="560" w:lineRule="exact"/>
        <w:rPr>
          <w:rFonts w:hint="eastAsia" w:hAnsi="黑体"/>
          <w:sz w:val="32"/>
          <w:szCs w:val="28"/>
        </w:rPr>
      </w:pPr>
      <w:r>
        <w:rPr>
          <w:rFonts w:hint="eastAsia" w:hAnsi="黑体"/>
          <w:sz w:val="32"/>
          <w:szCs w:val="28"/>
        </w:rPr>
        <w:t>第四部分名词解释</w:t>
      </w:r>
    </w:p>
    <w:p>
      <w:pPr>
        <w:pStyle w:val="15"/>
        <w:spacing w:line="560" w:lineRule="exact"/>
        <w:rPr>
          <w:rFonts w:hint="eastAsia" w:hAnsi="黑体"/>
          <w:sz w:val="32"/>
          <w:szCs w:val="28"/>
        </w:rPr>
      </w:pPr>
      <w:r>
        <w:rPr>
          <w:rFonts w:hint="eastAsia" w:hAnsi="黑体"/>
          <w:sz w:val="32"/>
          <w:szCs w:val="28"/>
        </w:rPr>
        <w:t>第五部分附件</w:t>
      </w:r>
    </w:p>
    <w:p>
      <w:pPr>
        <w:jc w:val="center"/>
        <w:rPr>
          <w:sz w:val="72"/>
          <w:szCs w:val="72"/>
        </w:rPr>
      </w:pPr>
      <w:r>
        <w:rPr>
          <w:rFonts w:hint="eastAsia" w:hAnsi="黑体"/>
          <w:sz w:val="32"/>
          <w:szCs w:val="28"/>
        </w:rPr>
        <w:br w:type="page"/>
      </w:r>
    </w:p>
    <w:p>
      <w:pPr>
        <w:jc w:val="center"/>
        <w:rPr>
          <w:sz w:val="72"/>
          <w:szCs w:val="72"/>
        </w:rPr>
      </w:pPr>
    </w:p>
    <w:p>
      <w:pPr>
        <w:jc w:val="center"/>
        <w:rPr>
          <w:sz w:val="72"/>
          <w:szCs w:val="72"/>
        </w:rPr>
      </w:pPr>
    </w:p>
    <w:p>
      <w:pPr>
        <w:jc w:val="center"/>
        <w:rPr>
          <w:sz w:val="72"/>
          <w:szCs w:val="72"/>
        </w:rPr>
      </w:pPr>
    </w:p>
    <w:p>
      <w:pPr>
        <w:rPr>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第一部分</w:t>
      </w:r>
    </w:p>
    <w:p>
      <w:pPr>
        <w:pStyle w:val="15"/>
        <w:jc w:val="center"/>
        <w:rPr>
          <w:rFonts w:hint="eastAsia" w:ascii="方正小标宋简体" w:eastAsia="方正小标宋简体"/>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lang w:eastAsia="zh-CN"/>
        </w:rPr>
        <w:t>株洲职业教育科技园管理办公室</w:t>
      </w:r>
      <w:r>
        <w:rPr>
          <w:rFonts w:hint="eastAsia" w:ascii="方正小标宋简体" w:eastAsia="方正小标宋简体"/>
          <w:sz w:val="72"/>
          <w:szCs w:val="72"/>
        </w:rPr>
        <w:t>单位概况</w:t>
      </w:r>
    </w:p>
    <w:p>
      <w:pPr>
        <w:pStyle w:val="15"/>
        <w:jc w:val="both"/>
        <w:rPr>
          <w:rFonts w:hint="eastAsia" w:ascii="方正小标宋简体" w:eastAsia="方正小标宋简体"/>
          <w:sz w:val="72"/>
          <w:szCs w:val="72"/>
        </w:rPr>
      </w:pPr>
    </w:p>
    <w:p>
      <w:pPr>
        <w:pStyle w:val="16"/>
        <w:numPr>
          <w:ilvl w:val="0"/>
          <w:numId w:val="0"/>
        </w:numPr>
        <w:ind w:leftChars="0"/>
        <w:jc w:val="left"/>
        <w:rPr>
          <w:sz w:val="72"/>
          <w:szCs w:val="72"/>
        </w:rPr>
      </w:pPr>
    </w:p>
    <w:p>
      <w:pPr>
        <w:pStyle w:val="16"/>
        <w:numPr>
          <w:ilvl w:val="0"/>
          <w:numId w:val="0"/>
        </w:numPr>
        <w:ind w:leftChars="0"/>
        <w:jc w:val="left"/>
        <w:rPr>
          <w:sz w:val="72"/>
          <w:szCs w:val="72"/>
        </w:rPr>
      </w:pPr>
    </w:p>
    <w:p>
      <w:pPr>
        <w:pStyle w:val="16"/>
        <w:numPr>
          <w:ilvl w:val="0"/>
          <w:numId w:val="0"/>
        </w:numPr>
        <w:ind w:leftChars="0"/>
        <w:jc w:val="left"/>
        <w:rPr>
          <w:sz w:val="72"/>
          <w:szCs w:val="72"/>
        </w:rPr>
      </w:pPr>
    </w:p>
    <w:p>
      <w:pPr>
        <w:pStyle w:val="16"/>
        <w:numPr>
          <w:ilvl w:val="0"/>
          <w:numId w:val="0"/>
        </w:numPr>
        <w:ind w:leftChars="0"/>
        <w:jc w:val="left"/>
        <w:rPr>
          <w:sz w:val="72"/>
          <w:szCs w:val="72"/>
        </w:rPr>
      </w:pPr>
    </w:p>
    <w:p>
      <w:pPr>
        <w:pStyle w:val="15"/>
        <w:spacing w:line="560" w:lineRule="exact"/>
        <w:rPr>
          <w:rFonts w:hint="eastAsia" w:hAnsi="黑体"/>
          <w:sz w:val="32"/>
          <w:szCs w:val="28"/>
        </w:rPr>
      </w:pPr>
      <w:r>
        <w:rPr>
          <w:rFonts w:hint="eastAsia" w:hAnsi="黑体"/>
          <w:sz w:val="32"/>
          <w:szCs w:val="28"/>
          <w:lang w:eastAsia="zh-CN"/>
        </w:rPr>
        <w:t>一、</w:t>
      </w:r>
      <w:r>
        <w:rPr>
          <w:rFonts w:hint="eastAsia" w:hAnsi="黑体"/>
          <w:sz w:val="32"/>
          <w:szCs w:val="28"/>
        </w:rPr>
        <w:t>部门职责</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（一）贯彻执行市委市政府有关株洲职业教育科技园发展的 方针政策和规划，负责园区内的规划和管理，统筹协调园区公共 </w:t>
      </w:r>
    </w:p>
    <w:p>
      <w:pPr>
        <w:spacing w:line="560" w:lineRule="exact"/>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设施、院校建设规划和产业发展规划及管理。 </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（二）负责园区共享设施与公共配套设施的管理与维护，对 </w:t>
      </w:r>
    </w:p>
    <w:p>
      <w:pPr>
        <w:spacing w:line="560" w:lineRule="exact"/>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入园机构进行有关管理。 </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（三）负责园区院校职教改革的指导与服务，负责各类职业 </w:t>
      </w:r>
    </w:p>
    <w:p>
      <w:pPr>
        <w:spacing w:line="560" w:lineRule="exact"/>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技能培训的协调和服务。 </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（四）负责统筹协调园区内的招商开发、校企合作、人才交 </w:t>
      </w:r>
    </w:p>
    <w:p>
      <w:pPr>
        <w:spacing w:line="560" w:lineRule="exact"/>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流、成果推介、信息交流等活动。 </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（五）负责协调园区内的安全生产、综合治理、文化、教育、 </w:t>
      </w:r>
    </w:p>
    <w:p>
      <w:pPr>
        <w:spacing w:line="560" w:lineRule="exact"/>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卫生、食品安全等社会事务工作。 </w:t>
      </w:r>
    </w:p>
    <w:p>
      <w:pPr>
        <w:spacing w:line="560" w:lineRule="exact"/>
        <w:ind w:firstLine="640" w:firstLineChars="200"/>
        <w:jc w:val="left"/>
        <w:rPr>
          <w:rFonts w:hint="default" w:ascii="仿宋" w:hAnsi="仿宋" w:eastAsia="仿宋" w:cs="仿宋_GB2312"/>
          <w:color w:val="000000"/>
          <w:kern w:val="0"/>
          <w:sz w:val="32"/>
          <w:szCs w:val="28"/>
          <w:lang w:val="en-US" w:eastAsia="zh-CN"/>
        </w:rPr>
      </w:pPr>
      <w:r>
        <w:rPr>
          <w:rFonts w:hint="default" w:ascii="仿宋" w:hAnsi="仿宋" w:eastAsia="仿宋" w:cs="仿宋_GB2312"/>
          <w:color w:val="000000"/>
          <w:kern w:val="0"/>
          <w:sz w:val="32"/>
          <w:szCs w:val="28"/>
          <w:lang w:val="en-US" w:eastAsia="zh-CN"/>
        </w:rPr>
        <w:t xml:space="preserve">（六）完成市政府交办的其他工作。 </w:t>
      </w:r>
    </w:p>
    <w:p>
      <w:pPr>
        <w:pStyle w:val="15"/>
        <w:spacing w:line="560" w:lineRule="exact"/>
        <w:rPr>
          <w:rFonts w:hAnsi="黑体"/>
          <w:sz w:val="32"/>
          <w:szCs w:val="28"/>
        </w:rPr>
      </w:pPr>
      <w:r>
        <w:rPr>
          <w:rFonts w:hint="eastAsia" w:hAnsi="黑体"/>
          <w:sz w:val="32"/>
          <w:szCs w:val="28"/>
        </w:rPr>
        <w:t>二、机构设置</w:t>
      </w:r>
    </w:p>
    <w:p>
      <w:pPr>
        <w:widowControl/>
        <w:spacing w:line="600" w:lineRule="exact"/>
        <w:ind w:firstLine="640" w:firstLineChars="200"/>
        <w:rPr>
          <w:rFonts w:hint="eastAsia" w:ascii="仿宋_GB2312" w:hAnsi="宋体" w:eastAsia="仿宋_GB2312"/>
          <w:bCs/>
          <w:kern w:val="0"/>
          <w:sz w:val="32"/>
          <w:szCs w:val="32"/>
          <w:lang w:eastAsia="zh-CN"/>
        </w:rPr>
      </w:pPr>
      <w:r>
        <w:rPr>
          <w:rFonts w:hint="eastAsia" w:ascii="楷体_GB2312" w:hAnsi="宋体" w:eastAsia="楷体_GB2312"/>
          <w:bCs/>
          <w:kern w:val="0"/>
          <w:sz w:val="32"/>
          <w:szCs w:val="32"/>
        </w:rPr>
        <w:t>（一）内设机构设置。</w:t>
      </w:r>
      <w:r>
        <w:rPr>
          <w:rFonts w:hint="eastAsia" w:ascii="仿宋_GB2312" w:hAnsi="宋体" w:eastAsia="仿宋_GB2312"/>
          <w:bCs/>
          <w:kern w:val="0"/>
          <w:sz w:val="32"/>
          <w:szCs w:val="32"/>
          <w:lang w:eastAsia="zh-CN"/>
        </w:rPr>
        <w:t>株洲职业教育科技园管理办公室</w:t>
      </w:r>
      <w:r>
        <w:rPr>
          <w:rFonts w:hint="eastAsia" w:ascii="仿宋_GB2312" w:hAnsi="宋体" w:eastAsia="仿宋_GB2312"/>
          <w:bCs/>
          <w:kern w:val="0"/>
          <w:sz w:val="32"/>
          <w:szCs w:val="32"/>
        </w:rPr>
        <w:t>内设机构包括：</w:t>
      </w:r>
      <w:r>
        <w:rPr>
          <w:rFonts w:hint="eastAsia" w:ascii="仿宋_GB2312" w:hAnsi="宋体" w:eastAsia="仿宋_GB2312"/>
          <w:bCs/>
          <w:kern w:val="0"/>
          <w:sz w:val="32"/>
          <w:szCs w:val="32"/>
          <w:lang w:eastAsia="zh-CN"/>
        </w:rPr>
        <w:t>综合科、发展规划科、科教事业科（就业创业服务中心）、社会事务科。</w:t>
      </w:r>
    </w:p>
    <w:p>
      <w:pPr>
        <w:widowControl/>
        <w:spacing w:line="600" w:lineRule="exact"/>
        <w:ind w:firstLine="640" w:firstLineChars="200"/>
        <w:rPr>
          <w:rFonts w:hint="eastAsia" w:ascii="仿宋_GB2312" w:hAnsi="宋体" w:eastAsia="仿宋_GB2312"/>
          <w:bCs/>
          <w:color w:val="FF0000"/>
          <w:kern w:val="0"/>
          <w:sz w:val="32"/>
          <w:szCs w:val="32"/>
        </w:rPr>
      </w:pPr>
      <w:r>
        <w:rPr>
          <w:rFonts w:hint="eastAsia" w:ascii="楷体_GB2312" w:hAnsi="宋体" w:eastAsia="楷体_GB2312"/>
          <w:bCs/>
          <w:kern w:val="0"/>
          <w:sz w:val="32"/>
          <w:szCs w:val="32"/>
        </w:rPr>
        <w:t>（二）决算单位构成。</w:t>
      </w:r>
      <w:r>
        <w:rPr>
          <w:rFonts w:hint="eastAsia" w:ascii="仿宋_GB2312" w:hAnsi="宋体" w:eastAsia="仿宋_GB2312"/>
          <w:bCs/>
          <w:color w:val="000000"/>
          <w:kern w:val="0"/>
          <w:sz w:val="32"/>
          <w:szCs w:val="32"/>
        </w:rPr>
        <w:t>本单位无独立核算的下属单位，202</w:t>
      </w:r>
      <w:r>
        <w:rPr>
          <w:rFonts w:hint="default" w:ascii="仿宋_GB2312" w:hAnsi="宋体" w:eastAsia="仿宋_GB2312"/>
          <w:bCs/>
          <w:color w:val="000000"/>
          <w:kern w:val="0"/>
          <w:sz w:val="32"/>
          <w:szCs w:val="32"/>
          <w:lang w:val="en" w:eastAsia="zh-CN"/>
        </w:rPr>
        <w:t>3</w:t>
      </w:r>
      <w:r>
        <w:rPr>
          <w:rFonts w:hint="eastAsia" w:ascii="仿宋_GB2312" w:hAnsi="宋体" w:eastAsia="仿宋_GB2312"/>
          <w:bCs/>
          <w:color w:val="000000"/>
          <w:kern w:val="0"/>
          <w:sz w:val="32"/>
          <w:szCs w:val="32"/>
        </w:rPr>
        <w:t>年度部门决算汇总公开单位仅包括</w:t>
      </w:r>
      <w:r>
        <w:rPr>
          <w:rFonts w:hint="eastAsia" w:ascii="仿宋_GB2312" w:hAnsi="宋体" w:eastAsia="仿宋_GB2312"/>
          <w:bCs/>
          <w:kern w:val="0"/>
          <w:sz w:val="32"/>
          <w:szCs w:val="32"/>
          <w:lang w:eastAsia="zh-CN"/>
        </w:rPr>
        <w:t>株洲职业教育科技园管理办公室</w:t>
      </w:r>
      <w:r>
        <w:rPr>
          <w:rFonts w:hint="eastAsia" w:ascii="仿宋_GB2312" w:hAnsi="宋体" w:eastAsia="仿宋_GB2312"/>
          <w:bCs/>
          <w:kern w:val="0"/>
          <w:sz w:val="32"/>
          <w:szCs w:val="32"/>
        </w:rPr>
        <w:t>本级。</w:t>
      </w:r>
    </w:p>
    <w:p>
      <w:pPr>
        <w:widowControl/>
        <w:spacing w:line="600" w:lineRule="exact"/>
        <w:rPr>
          <w:rFonts w:hint="eastAsia" w:ascii="仿宋_GB2312" w:hAnsi="宋体" w:eastAsia="仿宋_GB2312"/>
          <w:bCs/>
          <w:color w:val="FF0000"/>
          <w:kern w:val="0"/>
          <w:sz w:val="32"/>
          <w:szCs w:val="32"/>
        </w:rPr>
      </w:pPr>
      <w:r>
        <w:rPr>
          <w:rFonts w:hint="eastAsia" w:ascii="仿宋_GB2312" w:hAnsi="宋体" w:eastAsia="仿宋_GB2312"/>
          <w:bCs/>
          <w:color w:val="FF0000"/>
          <w:kern w:val="0"/>
          <w:sz w:val="32"/>
          <w:szCs w:val="32"/>
        </w:rPr>
        <w:br w:type="page"/>
      </w:r>
    </w:p>
    <w:p>
      <w:pPr>
        <w:widowControl/>
        <w:spacing w:line="600" w:lineRule="exact"/>
        <w:rPr>
          <w:rFonts w:hint="eastAsia" w:ascii="仿宋_GB2312" w:eastAsia="仿宋_GB2312"/>
          <w:sz w:val="28"/>
          <w:szCs w:val="28"/>
        </w:rPr>
      </w:pPr>
    </w:p>
    <w:p>
      <w:pPr>
        <w:rPr>
          <w:sz w:val="72"/>
          <w:szCs w:val="72"/>
        </w:rPr>
      </w:pPr>
    </w:p>
    <w:p>
      <w:pPr>
        <w:jc w:val="center"/>
        <w:rPr>
          <w:sz w:val="72"/>
          <w:szCs w:val="72"/>
        </w:rPr>
      </w:pPr>
    </w:p>
    <w:p>
      <w:pPr>
        <w:jc w:val="center"/>
        <w:rPr>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第二部分</w:t>
      </w:r>
    </w:p>
    <w:p>
      <w:pPr>
        <w:jc w:val="center"/>
        <w:rPr>
          <w:rFonts w:hint="eastAsia" w:ascii="方正小标宋简体" w:eastAsia="方正小标宋简体"/>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tabs>
          <w:tab w:val="left" w:pos="7560"/>
        </w:tabs>
        <w:adjustRightInd w:val="0"/>
        <w:snapToGrid w:val="0"/>
        <w:spacing w:line="560" w:lineRule="exact"/>
        <w:jc w:val="left"/>
        <w:rPr>
          <w:rFonts w:ascii="仿宋_GB2312" w:eastAsia="仿宋_GB2312"/>
          <w:sz w:val="28"/>
          <w:szCs w:val="28"/>
        </w:rPr>
        <w:sectPr>
          <w:footerReference r:id="rId3" w:type="default"/>
          <w:footerReference r:id="rId4" w:type="even"/>
          <w:pgSz w:w="11906" w:h="16838"/>
          <w:pgMar w:top="2098" w:right="1531" w:bottom="1985" w:left="1531" w:header="851" w:footer="1588" w:gutter="0"/>
          <w:cols w:space="720" w:num="1"/>
          <w:titlePg/>
          <w:docGrid w:linePitch="312" w:charSpace="0"/>
        </w:sectPr>
      </w:pPr>
    </w:p>
    <w:tbl>
      <w:tblPr>
        <w:tblStyle w:val="11"/>
        <w:tblW w:w="14176" w:type="dxa"/>
        <w:tblInd w:w="-318" w:type="dxa"/>
        <w:tblLayout w:type="autofit"/>
        <w:tblCellMar>
          <w:top w:w="0" w:type="dxa"/>
          <w:left w:w="108" w:type="dxa"/>
          <w:bottom w:w="0" w:type="dxa"/>
          <w:right w:w="108" w:type="dxa"/>
        </w:tblCellMar>
      </w:tblPr>
      <w:tblGrid>
        <w:gridCol w:w="4254"/>
        <w:gridCol w:w="739"/>
        <w:gridCol w:w="631"/>
        <w:gridCol w:w="599"/>
        <w:gridCol w:w="98"/>
        <w:gridCol w:w="232"/>
        <w:gridCol w:w="3468"/>
        <w:gridCol w:w="845"/>
        <w:gridCol w:w="1460"/>
        <w:gridCol w:w="657"/>
        <w:gridCol w:w="1193"/>
      </w:tblGrid>
      <w:tr>
        <w:tblPrEx>
          <w:tblCellMar>
            <w:top w:w="0" w:type="dxa"/>
            <w:left w:w="108" w:type="dxa"/>
            <w:bottom w:w="0" w:type="dxa"/>
            <w:right w:w="108" w:type="dxa"/>
          </w:tblCellMar>
        </w:tblPrEx>
        <w:trPr>
          <w:trHeight w:val="360" w:hRule="atLeast"/>
        </w:trPr>
        <w:tc>
          <w:tcPr>
            <w:tcW w:w="14176"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624"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193"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624"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株洲职业教育科技园管理办公室</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193"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62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收入</w:t>
            </w:r>
          </w:p>
        </w:tc>
        <w:tc>
          <w:tcPr>
            <w:tcW w:w="795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行次</w:t>
            </w:r>
          </w:p>
        </w:tc>
        <w:tc>
          <w:tcPr>
            <w:tcW w:w="33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31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一、一般公共预算财政拨款收入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default" w:ascii="宋体" w:hAnsi="宋体" w:cs="宋体"/>
                <w:kern w:val="0"/>
                <w:sz w:val="24"/>
                <w:lang w:val="en" w:eastAsia="zh-CN"/>
              </w:rPr>
              <w:t>439.45</w:t>
            </w: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3310"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二、政府性基金预算财政拨款收入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3310"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三、国有资本经营预算财政拨款收入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3310"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四、上级补助收入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3310"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五、事业收入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cs="宋体"/>
                <w:kern w:val="0"/>
                <w:sz w:val="24"/>
                <w:lang w:val="en-US"/>
              </w:rPr>
            </w:pP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六、经营收入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3310"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default" w:ascii="宋体" w:hAnsi="宋体" w:cs="宋体"/>
                <w:kern w:val="0"/>
                <w:sz w:val="24"/>
                <w:lang w:val="en"/>
              </w:rPr>
              <w:t>439.45</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七、附属单位上缴收入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3310" w:type="dxa"/>
            <w:gridSpan w:val="3"/>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59"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kern w:val="0"/>
                <w:sz w:val="24"/>
              </w:rPr>
            </w:pPr>
            <w:r>
              <w:rPr>
                <w:rFonts w:hint="eastAsia" w:ascii="宋体" w:hAnsi="宋体" w:cs="宋体"/>
                <w:kern w:val="0"/>
                <w:sz w:val="24"/>
              </w:rPr>
              <w:t>八、其他收入</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cs="宋体"/>
                <w:kern w:val="0"/>
                <w:sz w:val="24"/>
              </w:rPr>
            </w:pPr>
            <w:r>
              <w:rPr>
                <w:rFonts w:hint="eastAsia" w:ascii="宋体" w:hAnsi="宋体" w:cs="宋体"/>
                <w:kern w:val="0"/>
                <w:sz w:val="24"/>
                <w:lang w:eastAsia="zh-CN"/>
              </w:rPr>
              <w:t>九、卫生健康支出</w:t>
            </w:r>
            <w:r>
              <w:rPr>
                <w:rFonts w:hint="eastAsia" w:ascii="宋体" w:hAnsi="宋体" w:cs="宋体"/>
                <w:kern w:val="0"/>
                <w:sz w:val="24"/>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p>
        </w:tc>
      </w:tr>
      <w:tr>
        <w:tblPrEx>
          <w:tblCellMar>
            <w:top w:w="0" w:type="dxa"/>
            <w:left w:w="108" w:type="dxa"/>
            <w:bottom w:w="0" w:type="dxa"/>
            <w:right w:w="108" w:type="dxa"/>
          </w:tblCellMar>
        </w:tblPrEx>
        <w:trPr>
          <w:trHeight w:val="9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kern w:val="0"/>
                <w:sz w:val="24"/>
              </w:rPr>
            </w:pP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4"/>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cs="宋体"/>
                <w:kern w:val="0"/>
                <w:sz w:val="24"/>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b/>
                <w:bCs/>
                <w:kern w:val="0"/>
                <w:sz w:val="24"/>
                <w:lang w:eastAsia="zh-CN"/>
              </w:rPr>
            </w:pPr>
            <w:r>
              <w:rPr>
                <w:rFonts w:hint="eastAsia" w:ascii="宋体" w:hAnsi="宋体" w:cs="宋体"/>
                <w:kern w:val="0"/>
                <w:sz w:val="24"/>
                <w:lang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cs="宋体"/>
                <w:kern w:val="0"/>
                <w:sz w:val="24"/>
              </w:rPr>
            </w:pP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cs="宋体"/>
                <w:kern w:val="0"/>
                <w:sz w:val="24"/>
                <w:lang w:val="en-US" w:eastAsia="zh-CN"/>
              </w:rPr>
            </w:pPr>
          </w:p>
        </w:tc>
      </w:tr>
      <w:tr>
        <w:tblPrEx>
          <w:tblCellMar>
            <w:top w:w="0" w:type="dxa"/>
            <w:left w:w="108" w:type="dxa"/>
            <w:bottom w:w="0" w:type="dxa"/>
            <w:right w:w="108" w:type="dxa"/>
          </w:tblCellMar>
        </w:tblPrEx>
        <w:trPr>
          <w:trHeight w:val="9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本年收入合计</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default" w:ascii="宋体" w:hAnsi="宋体" w:cs="宋体"/>
                <w:kern w:val="0"/>
                <w:sz w:val="24"/>
                <w:lang w:val="en" w:eastAsia="zh-CN"/>
              </w:rPr>
              <w:t>439.45</w:t>
            </w: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default" w:ascii="宋体" w:hAnsi="宋体" w:cs="宋体"/>
                <w:kern w:val="0"/>
                <w:sz w:val="24"/>
                <w:lang w:val="en"/>
              </w:rPr>
              <w:t>439.45</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使用非财政拨款结余</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3310" w:type="dxa"/>
            <w:gridSpan w:val="3"/>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年初结转和结余</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3310" w:type="dxa"/>
            <w:gridSpan w:val="3"/>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40" w:hRule="atLeast"/>
        </w:trPr>
        <w:tc>
          <w:tcPr>
            <w:tcW w:w="425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rPr>
            </w:pPr>
            <w:r>
              <w:rPr>
                <w:rFonts w:hint="eastAsia" w:ascii="宋体" w:hAnsi="宋体" w:cs="宋体"/>
                <w:b/>
                <w:bCs/>
                <w:kern w:val="0"/>
                <w:sz w:val="24"/>
              </w:rPr>
              <w:t>总计</w:t>
            </w:r>
          </w:p>
        </w:tc>
        <w:tc>
          <w:tcPr>
            <w:tcW w:w="73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r>
              <w:rPr>
                <w:rFonts w:hint="default" w:ascii="宋体" w:hAnsi="宋体" w:cs="宋体"/>
                <w:kern w:val="0"/>
                <w:sz w:val="24"/>
                <w:lang w:val="en" w:eastAsia="zh-CN"/>
              </w:rPr>
              <w:t>439.45</w:t>
            </w:r>
            <w:r>
              <w:rPr>
                <w:rFonts w:hint="eastAsia" w:ascii="宋体" w:hAnsi="宋体" w:cs="宋体"/>
                <w:kern w:val="0"/>
                <w:sz w:val="24"/>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rPr>
            </w:pPr>
            <w:r>
              <w:rPr>
                <w:rFonts w:hint="eastAsia" w:ascii="宋体" w:hAnsi="宋体" w:cs="宋体"/>
                <w:b/>
                <w:bCs/>
                <w:kern w:val="0"/>
                <w:sz w:val="24"/>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3310" w:type="dxa"/>
            <w:gridSpan w:val="3"/>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default" w:ascii="宋体" w:hAnsi="宋体" w:cs="宋体"/>
                <w:kern w:val="0"/>
                <w:sz w:val="24"/>
                <w:lang w:val="en"/>
              </w:rPr>
              <w:t>439.45</w:t>
            </w:r>
          </w:p>
        </w:tc>
      </w:tr>
      <w:tr>
        <w:tblPrEx>
          <w:tblCellMar>
            <w:top w:w="0" w:type="dxa"/>
            <w:left w:w="108" w:type="dxa"/>
            <w:bottom w:w="0" w:type="dxa"/>
            <w:right w:w="108" w:type="dxa"/>
          </w:tblCellMar>
        </w:tblPrEx>
        <w:trPr>
          <w:trHeight w:val="1020" w:hRule="atLeast"/>
        </w:trPr>
        <w:tc>
          <w:tcPr>
            <w:tcW w:w="14176" w:type="dxa"/>
            <w:gridSpan w:val="11"/>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注：1.本表反映部门本年度的总收支和年末结转结余情况。</w:t>
            </w:r>
            <w:r>
              <w:rPr>
                <w:rFonts w:hint="eastAsia" w:ascii="宋体" w:hAnsi="宋体" w:cs="宋体"/>
                <w:kern w:val="0"/>
                <w:sz w:val="24"/>
              </w:rPr>
              <w:br w:type="textWrapping"/>
            </w:r>
            <w:r>
              <w:rPr>
                <w:rFonts w:hint="eastAsia" w:ascii="宋体" w:hAnsi="宋体" w:cs="宋体"/>
                <w:kern w:val="0"/>
                <w:sz w:val="24"/>
              </w:rPr>
              <w:t xml:space="preserve">    2.本套报表金额单位转换时可能存在尾数误差。</w:t>
            </w:r>
          </w:p>
        </w:tc>
      </w:tr>
    </w:tbl>
    <w:p>
      <w:pPr>
        <w:tabs>
          <w:tab w:val="left" w:pos="7560"/>
        </w:tabs>
        <w:adjustRightInd w:val="0"/>
        <w:snapToGrid w:val="0"/>
        <w:spacing w:line="560" w:lineRule="exact"/>
        <w:jc w:val="left"/>
        <w:rPr>
          <w:rFonts w:hint="eastAsia" w:ascii="仿宋_GB2312" w:eastAsia="仿宋_GB2312"/>
          <w:sz w:val="28"/>
          <w:szCs w:val="28"/>
        </w:rPr>
      </w:pPr>
    </w:p>
    <w:tbl>
      <w:tblPr>
        <w:tblStyle w:val="11"/>
        <w:tblW w:w="13763" w:type="dxa"/>
        <w:tblInd w:w="0" w:type="dxa"/>
        <w:tblLayout w:type="fixed"/>
        <w:tblCellMar>
          <w:top w:w="0" w:type="dxa"/>
          <w:left w:w="0" w:type="dxa"/>
          <w:bottom w:w="0" w:type="dxa"/>
          <w:right w:w="0" w:type="dxa"/>
        </w:tblCellMar>
      </w:tblPr>
      <w:tblGrid>
        <w:gridCol w:w="38"/>
        <w:gridCol w:w="1993"/>
        <w:gridCol w:w="2350"/>
        <w:gridCol w:w="1125"/>
        <w:gridCol w:w="1109"/>
        <w:gridCol w:w="941"/>
        <w:gridCol w:w="650"/>
        <w:gridCol w:w="675"/>
        <w:gridCol w:w="2551"/>
        <w:gridCol w:w="2331"/>
      </w:tblGrid>
      <w:tr>
        <w:tblPrEx>
          <w:tblCellMar>
            <w:top w:w="0" w:type="dxa"/>
            <w:left w:w="0" w:type="dxa"/>
            <w:bottom w:w="0" w:type="dxa"/>
            <w:right w:w="0" w:type="dxa"/>
          </w:tblCellMar>
        </w:tblPrEx>
        <w:trPr>
          <w:trHeight w:val="439" w:hRule="atLeast"/>
        </w:trPr>
        <w:tc>
          <w:tcPr>
            <w:tcW w:w="13763"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s="Times New Roman"/>
                <w:color w:val="000000"/>
                <w:sz w:val="32"/>
                <w:szCs w:val="32"/>
              </w:rPr>
              <w:t>收入决算表</w:t>
            </w:r>
          </w:p>
        </w:tc>
      </w:tr>
      <w:tr>
        <w:tblPrEx>
          <w:tblCellMar>
            <w:top w:w="0" w:type="dxa"/>
            <w:left w:w="0" w:type="dxa"/>
            <w:bottom w:w="0" w:type="dxa"/>
            <w:right w:w="0" w:type="dxa"/>
          </w:tblCellMar>
        </w:tblPrEx>
        <w:trPr>
          <w:trHeight w:val="287" w:hRule="atLeast"/>
        </w:trPr>
        <w:tc>
          <w:tcPr>
            <w:tcW w:w="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19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2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11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9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2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23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sz w:val="20"/>
                <w:szCs w:val="20"/>
              </w:rPr>
            </w:pPr>
            <w:r>
              <w:rPr>
                <w:rFonts w:hint="eastAsia"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287" w:hRule="atLeast"/>
        </w:trPr>
        <w:tc>
          <w:tcPr>
            <w:tcW w:w="438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eastAsia="宋体" w:cs="宋体"/>
                <w:color w:val="000000"/>
                <w:sz w:val="20"/>
                <w:szCs w:val="20"/>
                <w:lang w:eastAsia="zh-CN"/>
              </w:rPr>
            </w:pPr>
            <w:r>
              <w:rPr>
                <w:rFonts w:hint="eastAsia" w:ascii="Times New Roman" w:hAnsi="Times New Roman" w:cs="Times New Roman"/>
                <w:color w:val="000000"/>
                <w:sz w:val="20"/>
                <w:szCs w:val="20"/>
              </w:rPr>
              <w:t>部门：</w:t>
            </w:r>
            <w:r>
              <w:rPr>
                <w:rFonts w:hint="eastAsia" w:ascii="Times New Roman" w:hAnsi="Times New Roman" w:cs="Times New Roman"/>
                <w:color w:val="000000"/>
                <w:sz w:val="20"/>
                <w:szCs w:val="20"/>
                <w:lang w:eastAsia="zh-CN"/>
              </w:rPr>
              <w:t>株洲职业教育科技园管理办公室</w:t>
            </w:r>
          </w:p>
          <w:p>
            <w:pPr>
              <w:jc w:val="right"/>
              <w:rPr>
                <w:rFonts w:ascii="宋体" w:hAnsi="宋体" w:cs="宋体"/>
                <w:sz w:val="24"/>
              </w:rPr>
            </w:pPr>
            <w:r>
              <w:rPr>
                <w:rFonts w:hint="eastAsia" w:ascii="Times New Roman" w:hAnsi="Times New Roman" w:cs="Times New Roman"/>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11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94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cs="宋体"/>
                <w:color w:val="000000"/>
                <w:sz w:val="20"/>
                <w:szCs w:val="20"/>
              </w:rPr>
            </w:pPr>
            <w:r>
              <w:rPr>
                <w:rFonts w:hint="eastAsia" w:ascii="Times New Roman" w:hAnsi="Times New Roman" w:cs="Times New Roman"/>
                <w:color w:val="000000"/>
                <w:sz w:val="20"/>
                <w:szCs w:val="20"/>
              </w:rPr>
              <w:t>　</w:t>
            </w:r>
          </w:p>
        </w:tc>
        <w:tc>
          <w:tcPr>
            <w:tcW w:w="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25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sz w:val="24"/>
              </w:rPr>
            </w:pPr>
            <w:r>
              <w:rPr>
                <w:rFonts w:hint="eastAsia" w:ascii="Times New Roman" w:hAnsi="Times New Roman" w:cs="Times New Roman"/>
              </w:rPr>
              <w:t>　</w:t>
            </w:r>
          </w:p>
        </w:tc>
        <w:tc>
          <w:tcPr>
            <w:tcW w:w="23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s="宋体"/>
                <w:color w:val="000000"/>
                <w:sz w:val="20"/>
                <w:szCs w:val="20"/>
              </w:rPr>
            </w:pPr>
            <w:r>
              <w:rPr>
                <w:rFonts w:hint="eastAsia" w:ascii="Times New Roman" w:hAnsi="Times New Roman" w:cs="Times New Roman"/>
                <w:color w:val="000000"/>
                <w:sz w:val="20"/>
                <w:szCs w:val="20"/>
              </w:rPr>
              <w:t>单位：万元</w:t>
            </w:r>
          </w:p>
        </w:tc>
      </w:tr>
      <w:tr>
        <w:tblPrEx>
          <w:tblCellMar>
            <w:top w:w="0" w:type="dxa"/>
            <w:left w:w="0" w:type="dxa"/>
            <w:bottom w:w="0" w:type="dxa"/>
            <w:right w:w="0" w:type="dxa"/>
          </w:tblCellMar>
        </w:tblPrEx>
        <w:trPr>
          <w:trHeight w:val="454" w:hRule="atLeast"/>
        </w:trPr>
        <w:tc>
          <w:tcPr>
            <w:tcW w:w="4381" w:type="dxa"/>
            <w:gridSpan w:val="3"/>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项    目</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本年收入合计</w:t>
            </w:r>
          </w:p>
        </w:tc>
        <w:tc>
          <w:tcPr>
            <w:tcW w:w="110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财政拨款收入</w:t>
            </w:r>
          </w:p>
        </w:tc>
        <w:tc>
          <w:tcPr>
            <w:tcW w:w="94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上级补助收入</w:t>
            </w:r>
          </w:p>
        </w:tc>
        <w:tc>
          <w:tcPr>
            <w:tcW w:w="650"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事业收入</w:t>
            </w:r>
          </w:p>
        </w:tc>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经营收入</w:t>
            </w:r>
          </w:p>
        </w:tc>
        <w:tc>
          <w:tcPr>
            <w:tcW w:w="255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附属单位上缴收入</w:t>
            </w:r>
          </w:p>
        </w:tc>
        <w:tc>
          <w:tcPr>
            <w:tcW w:w="2331" w:type="dxa"/>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其他收入</w:t>
            </w:r>
          </w:p>
        </w:tc>
      </w:tr>
      <w:tr>
        <w:tblPrEx>
          <w:tblCellMar>
            <w:top w:w="0" w:type="dxa"/>
            <w:left w:w="0" w:type="dxa"/>
            <w:bottom w:w="0" w:type="dxa"/>
            <w:right w:w="0" w:type="dxa"/>
          </w:tblCellMar>
        </w:tblPrEx>
        <w:trPr>
          <w:trHeight w:val="454" w:hRule="atLeast"/>
        </w:trPr>
        <w:tc>
          <w:tcPr>
            <w:tcW w:w="2031"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功能分类科目编码</w:t>
            </w:r>
          </w:p>
        </w:tc>
        <w:tc>
          <w:tcPr>
            <w:tcW w:w="2350" w:type="dxa"/>
            <w:vMerge w:val="restart"/>
            <w:tcBorders>
              <w:top w:val="nil"/>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科目名称</w:t>
            </w: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23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r>
      <w:tr>
        <w:tblPrEx>
          <w:tblCellMar>
            <w:top w:w="0" w:type="dxa"/>
            <w:left w:w="0" w:type="dxa"/>
            <w:bottom w:w="0" w:type="dxa"/>
            <w:right w:w="0" w:type="dxa"/>
          </w:tblCellMar>
        </w:tblPrEx>
        <w:trPr>
          <w:trHeight w:val="312" w:hRule="atLeast"/>
        </w:trPr>
        <w:tc>
          <w:tcPr>
            <w:tcW w:w="20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235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94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255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233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r>
      <w:tr>
        <w:tblPrEx>
          <w:tblCellMar>
            <w:top w:w="0" w:type="dxa"/>
            <w:left w:w="0" w:type="dxa"/>
            <w:bottom w:w="0" w:type="dxa"/>
            <w:right w:w="0" w:type="dxa"/>
          </w:tblCellMar>
        </w:tblPrEx>
        <w:trPr>
          <w:trHeight w:val="454" w:hRule="atLeast"/>
        </w:trPr>
        <w:tc>
          <w:tcPr>
            <w:tcW w:w="438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栏次</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1</w:t>
            </w:r>
          </w:p>
        </w:tc>
        <w:tc>
          <w:tcPr>
            <w:tcW w:w="11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2</w:t>
            </w:r>
          </w:p>
        </w:tc>
        <w:tc>
          <w:tcPr>
            <w:tcW w:w="9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3</w:t>
            </w:r>
          </w:p>
        </w:tc>
        <w:tc>
          <w:tcPr>
            <w:tcW w:w="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4</w:t>
            </w:r>
          </w:p>
        </w:tc>
        <w:tc>
          <w:tcPr>
            <w:tcW w:w="6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5</w:t>
            </w:r>
          </w:p>
        </w:tc>
        <w:tc>
          <w:tcPr>
            <w:tcW w:w="25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6</w:t>
            </w:r>
          </w:p>
        </w:tc>
        <w:tc>
          <w:tcPr>
            <w:tcW w:w="23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7</w:t>
            </w:r>
          </w:p>
        </w:tc>
      </w:tr>
      <w:tr>
        <w:tblPrEx>
          <w:tblCellMar>
            <w:top w:w="0" w:type="dxa"/>
            <w:left w:w="0" w:type="dxa"/>
            <w:bottom w:w="0" w:type="dxa"/>
            <w:right w:w="0" w:type="dxa"/>
          </w:tblCellMar>
        </w:tblPrEx>
        <w:trPr>
          <w:trHeight w:val="454" w:hRule="atLeast"/>
        </w:trPr>
        <w:tc>
          <w:tcPr>
            <w:tcW w:w="438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cs="宋体"/>
                <w:sz w:val="24"/>
              </w:rPr>
            </w:pPr>
            <w:r>
              <w:rPr>
                <w:rFonts w:hint="eastAsia" w:ascii="宋体" w:hAnsi="宋体" w:cs="Times New Roman"/>
                <w:sz w:val="24"/>
              </w:rPr>
              <w:t>合计</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宋体" w:hAnsi="宋体" w:eastAsia="宋体" w:cs="宋体"/>
                <w:sz w:val="24"/>
                <w:lang w:val="en-US" w:eastAsia="zh-CN"/>
              </w:rPr>
            </w:pPr>
            <w:r>
              <w:rPr>
                <w:rFonts w:hint="default" w:ascii="宋体" w:hAnsi="宋体" w:cs="宋体"/>
                <w:kern w:val="0"/>
                <w:sz w:val="24"/>
                <w:lang w:val="en"/>
              </w:rPr>
              <w:t>439.45</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rPr>
            </w:pPr>
            <w:r>
              <w:rPr>
                <w:rFonts w:hint="default" w:ascii="宋体" w:hAnsi="宋体" w:cs="宋体"/>
                <w:kern w:val="0"/>
                <w:sz w:val="24"/>
                <w:lang w:val="en"/>
              </w:rPr>
              <w:t>439.45</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r>
      <w:tr>
        <w:tblPrEx>
          <w:tblCellMar>
            <w:top w:w="0" w:type="dxa"/>
            <w:left w:w="0" w:type="dxa"/>
            <w:bottom w:w="0" w:type="dxa"/>
            <w:right w:w="0" w:type="dxa"/>
          </w:tblCellMar>
        </w:tblPrEx>
        <w:trPr>
          <w:trHeight w:val="454" w:hRule="atLeast"/>
        </w:trPr>
        <w:tc>
          <w:tcPr>
            <w:tcW w:w="20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rPr>
            </w:pPr>
            <w:r>
              <w:rPr>
                <w:rFonts w:hint="default" w:ascii="Times New Roman" w:hAnsi="Times New Roman" w:cs="Times New Roman"/>
                <w:kern w:val="0"/>
                <w:sz w:val="21"/>
                <w:szCs w:val="21"/>
                <w:lang w:val="en-US" w:eastAsia="zh-CN"/>
              </w:rPr>
              <w:t>205</w:t>
            </w:r>
            <w:r>
              <w:rPr>
                <w:rFonts w:hint="default" w:ascii="Times New Roman" w:hAnsi="Times New Roman" w:cs="Times New Roman"/>
                <w:kern w:val="0"/>
                <w:sz w:val="21"/>
                <w:szCs w:val="21"/>
              </w:rPr>
              <w:t>　</w:t>
            </w:r>
          </w:p>
        </w:tc>
        <w:tc>
          <w:tcPr>
            <w:tcW w:w="2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rPr>
            </w:pPr>
            <w:r>
              <w:rPr>
                <w:rFonts w:hint="default" w:ascii="Times New Roman" w:hAnsi="Times New Roman" w:cs="Times New Roman"/>
                <w:kern w:val="0"/>
                <w:sz w:val="21"/>
                <w:szCs w:val="21"/>
                <w:lang w:eastAsia="zh-CN"/>
              </w:rPr>
              <w:t>教育支出</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rPr>
            </w:pPr>
            <w:r>
              <w:rPr>
                <w:rFonts w:hint="default" w:ascii="宋体" w:hAnsi="宋体" w:cs="宋体"/>
                <w:kern w:val="0"/>
                <w:sz w:val="24"/>
                <w:lang w:val="en"/>
              </w:rPr>
              <w:t>439.45</w:t>
            </w:r>
            <w:r>
              <w:rPr>
                <w:rFonts w:hint="eastAsia" w:ascii="宋体" w:hAnsi="宋体" w:cs="Times New Roman"/>
                <w:sz w:val="24"/>
              </w:rPr>
              <w:t>　</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sz w:val="24"/>
              </w:rPr>
            </w:pPr>
            <w:r>
              <w:rPr>
                <w:rFonts w:hint="default" w:ascii="宋体" w:hAnsi="宋体" w:cs="宋体"/>
                <w:kern w:val="0"/>
                <w:sz w:val="24"/>
                <w:lang w:val="en"/>
              </w:rPr>
              <w:t>439.45</w:t>
            </w:r>
            <w:r>
              <w:rPr>
                <w:rFonts w:hint="eastAsia" w:ascii="宋体" w:hAnsi="宋体" w:cs="Times New Roman"/>
                <w:sz w:val="24"/>
              </w:rPr>
              <w:t>　</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r>
      <w:tr>
        <w:tblPrEx>
          <w:tblCellMar>
            <w:top w:w="0" w:type="dxa"/>
            <w:left w:w="0" w:type="dxa"/>
            <w:bottom w:w="0" w:type="dxa"/>
            <w:right w:w="0" w:type="dxa"/>
          </w:tblCellMar>
        </w:tblPrEx>
        <w:trPr>
          <w:trHeight w:val="454" w:hRule="atLeast"/>
        </w:trPr>
        <w:tc>
          <w:tcPr>
            <w:tcW w:w="20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200503</w:t>
            </w:r>
            <w:r>
              <w:rPr>
                <w:rFonts w:hint="default" w:ascii="Times New Roman" w:hAnsi="Times New Roman" w:cs="Times New Roman"/>
                <w:kern w:val="0"/>
                <w:sz w:val="21"/>
                <w:szCs w:val="21"/>
              </w:rPr>
              <w:t>　</w:t>
            </w:r>
          </w:p>
        </w:tc>
        <w:tc>
          <w:tcPr>
            <w:tcW w:w="2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eastAsia="zh-CN"/>
              </w:rPr>
              <w:t>职业教育</w:t>
            </w:r>
            <w:r>
              <w:rPr>
                <w:rFonts w:hint="default" w:ascii="Times New Roman" w:hAnsi="Times New Roman" w:cs="Times New Roman"/>
                <w:kern w:val="0"/>
                <w:sz w:val="21"/>
                <w:szCs w:val="21"/>
              </w:rPr>
              <w:t>　</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 w:eastAsia="zh-CN" w:bidi="ar-SA"/>
              </w:rPr>
            </w:pPr>
            <w:r>
              <w:rPr>
                <w:rFonts w:hint="default" w:cs="Times New Roman"/>
                <w:sz w:val="21"/>
                <w:szCs w:val="21"/>
                <w:lang w:val="en" w:eastAsia="zh-CN"/>
              </w:rPr>
              <w:t>18.75</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18.75</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r>
      <w:tr>
        <w:tblPrEx>
          <w:tblCellMar>
            <w:top w:w="0" w:type="dxa"/>
            <w:left w:w="0" w:type="dxa"/>
            <w:bottom w:w="0" w:type="dxa"/>
            <w:right w:w="0" w:type="dxa"/>
          </w:tblCellMar>
        </w:tblPrEx>
        <w:trPr>
          <w:trHeight w:val="454" w:hRule="atLeast"/>
        </w:trPr>
        <w:tc>
          <w:tcPr>
            <w:tcW w:w="20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2050399</w:t>
            </w:r>
            <w:r>
              <w:rPr>
                <w:rFonts w:hint="default" w:ascii="Times New Roman" w:hAnsi="Times New Roman" w:cs="Times New Roman"/>
                <w:kern w:val="0"/>
                <w:sz w:val="21"/>
                <w:szCs w:val="21"/>
              </w:rPr>
              <w:t>　</w:t>
            </w:r>
          </w:p>
        </w:tc>
        <w:tc>
          <w:tcPr>
            <w:tcW w:w="2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eastAsia="zh-CN"/>
              </w:rPr>
              <w:t>其他职业教育支出</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18.75</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18.75</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hint="eastAsia" w:ascii="宋体" w:hAnsi="宋体" w:cs="Times New Roman"/>
                <w:sz w:val="24"/>
              </w:rPr>
            </w:pPr>
          </w:p>
        </w:tc>
      </w:tr>
      <w:tr>
        <w:tblPrEx>
          <w:tblCellMar>
            <w:top w:w="0" w:type="dxa"/>
            <w:left w:w="0" w:type="dxa"/>
            <w:bottom w:w="0" w:type="dxa"/>
            <w:right w:w="0" w:type="dxa"/>
          </w:tblCellMar>
        </w:tblPrEx>
        <w:trPr>
          <w:trHeight w:val="454" w:hRule="atLeast"/>
        </w:trPr>
        <w:tc>
          <w:tcPr>
            <w:tcW w:w="20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20599</w:t>
            </w:r>
          </w:p>
        </w:tc>
        <w:tc>
          <w:tcPr>
            <w:tcW w:w="2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eastAsia="zh-CN"/>
              </w:rPr>
              <w:t>其他教育支出</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 w:eastAsia="zh-CN" w:bidi="ar-SA"/>
              </w:rPr>
            </w:pPr>
            <w:r>
              <w:rPr>
                <w:rFonts w:hint="default" w:cs="Times New Roman"/>
                <w:sz w:val="21"/>
                <w:szCs w:val="21"/>
                <w:lang w:val="en" w:eastAsia="zh-CN"/>
              </w:rPr>
              <w:t>420.71</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420.71</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r>
      <w:tr>
        <w:tblPrEx>
          <w:tblCellMar>
            <w:top w:w="0" w:type="dxa"/>
            <w:left w:w="0" w:type="dxa"/>
            <w:bottom w:w="0" w:type="dxa"/>
            <w:right w:w="0" w:type="dxa"/>
          </w:tblCellMar>
        </w:tblPrEx>
        <w:trPr>
          <w:trHeight w:val="454" w:hRule="atLeast"/>
        </w:trPr>
        <w:tc>
          <w:tcPr>
            <w:tcW w:w="203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2059999</w:t>
            </w:r>
          </w:p>
        </w:tc>
        <w:tc>
          <w:tcPr>
            <w:tcW w:w="2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 xml:space="preserve">  其他教育支出</w:t>
            </w:r>
          </w:p>
        </w:tc>
        <w:tc>
          <w:tcPr>
            <w:tcW w:w="112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420.71</w:t>
            </w:r>
          </w:p>
        </w:tc>
        <w:tc>
          <w:tcPr>
            <w:tcW w:w="110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hint="default" w:ascii="Times New Roman" w:hAnsi="Times New Roman" w:eastAsia="宋体" w:cs="Times New Roman"/>
                <w:kern w:val="2"/>
                <w:sz w:val="21"/>
                <w:szCs w:val="21"/>
                <w:lang w:val="en-US" w:eastAsia="zh-CN" w:bidi="ar-SA"/>
              </w:rPr>
            </w:pPr>
            <w:r>
              <w:rPr>
                <w:rFonts w:hint="default" w:cs="Times New Roman"/>
                <w:sz w:val="21"/>
                <w:szCs w:val="21"/>
                <w:lang w:val="en" w:eastAsia="zh-CN"/>
              </w:rPr>
              <w:t>420.71</w:t>
            </w:r>
          </w:p>
        </w:tc>
        <w:tc>
          <w:tcPr>
            <w:tcW w:w="9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5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6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55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c>
          <w:tcPr>
            <w:tcW w:w="233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hAnsi="宋体" w:cs="宋体"/>
                <w:sz w:val="24"/>
              </w:rPr>
            </w:pPr>
            <w:r>
              <w:rPr>
                <w:rFonts w:hint="eastAsia" w:ascii="宋体" w:hAnsi="宋体" w:cs="Times New Roman"/>
                <w:sz w:val="24"/>
              </w:rPr>
              <w:t>　</w:t>
            </w:r>
          </w:p>
        </w:tc>
      </w:tr>
      <w:tr>
        <w:tblPrEx>
          <w:tblCellMar>
            <w:top w:w="0" w:type="dxa"/>
            <w:left w:w="0" w:type="dxa"/>
            <w:bottom w:w="0" w:type="dxa"/>
            <w:right w:w="0" w:type="dxa"/>
          </w:tblCellMar>
        </w:tblPrEx>
        <w:trPr>
          <w:trHeight w:val="620" w:hRule="atLeast"/>
        </w:trPr>
        <w:tc>
          <w:tcPr>
            <w:tcW w:w="13763" w:type="dxa"/>
            <w:gridSpan w:val="10"/>
            <w:tcBorders>
              <w:top w:val="nil"/>
              <w:left w:val="nil"/>
              <w:bottom w:val="nil"/>
              <w:right w:val="nil"/>
            </w:tcBorders>
            <w:noWrap w:val="0"/>
            <w:tcMar>
              <w:top w:w="15" w:type="dxa"/>
              <w:left w:w="15" w:type="dxa"/>
              <w:bottom w:w="0" w:type="dxa"/>
              <w:right w:w="15" w:type="dxa"/>
            </w:tcMar>
            <w:vAlign w:val="center"/>
          </w:tcPr>
          <w:p>
            <w:pPr>
              <w:widowControl/>
              <w:jc w:val="left"/>
              <w:rPr>
                <w:rFonts w:ascii="宋体" w:hAnsi="宋体" w:cs="宋体"/>
                <w:sz w:val="24"/>
              </w:rPr>
            </w:pPr>
            <w:r>
              <w:rPr>
                <w:rFonts w:hint="eastAsia" w:ascii="宋体" w:hAnsi="宋体" w:cs="宋体"/>
                <w:kern w:val="0"/>
                <w:sz w:val="24"/>
              </w:rPr>
              <w:t>注：本表反映部门本年度取得的各项收入情况。</w:t>
            </w:r>
          </w:p>
        </w:tc>
      </w:tr>
    </w:tbl>
    <w:p>
      <w:pPr>
        <w:tabs>
          <w:tab w:val="left" w:pos="7560"/>
        </w:tabs>
        <w:adjustRightInd w:val="0"/>
        <w:snapToGrid w:val="0"/>
        <w:spacing w:line="560" w:lineRule="exact"/>
        <w:jc w:val="left"/>
        <w:rPr>
          <w:rFonts w:hint="eastAsia" w:ascii="仿宋_GB2312" w:eastAsia="仿宋_GB2312"/>
          <w:sz w:val="28"/>
          <w:szCs w:val="28"/>
        </w:rPr>
      </w:pPr>
    </w:p>
    <w:p>
      <w:pPr>
        <w:tabs>
          <w:tab w:val="left" w:pos="7560"/>
        </w:tabs>
        <w:adjustRightInd w:val="0"/>
        <w:snapToGrid w:val="0"/>
        <w:spacing w:line="560" w:lineRule="exact"/>
        <w:jc w:val="left"/>
        <w:rPr>
          <w:rFonts w:hint="eastAsia" w:ascii="仿宋_GB2312" w:eastAsia="仿宋_GB2312"/>
          <w:sz w:val="28"/>
          <w:szCs w:val="28"/>
        </w:rPr>
      </w:pPr>
    </w:p>
    <w:p>
      <w:pPr>
        <w:tabs>
          <w:tab w:val="left" w:pos="7560"/>
        </w:tabs>
        <w:adjustRightInd w:val="0"/>
        <w:snapToGrid w:val="0"/>
        <w:spacing w:line="560" w:lineRule="exact"/>
        <w:jc w:val="left"/>
        <w:rPr>
          <w:rFonts w:hint="eastAsia" w:ascii="仿宋_GB2312" w:eastAsia="仿宋_GB2312"/>
          <w:sz w:val="28"/>
          <w:szCs w:val="28"/>
        </w:rPr>
      </w:pPr>
    </w:p>
    <w:p>
      <w:pPr>
        <w:tabs>
          <w:tab w:val="left" w:pos="7560"/>
        </w:tabs>
        <w:adjustRightInd w:val="0"/>
        <w:snapToGrid w:val="0"/>
        <w:spacing w:line="560" w:lineRule="exact"/>
        <w:jc w:val="left"/>
        <w:rPr>
          <w:rFonts w:hint="eastAsia" w:ascii="仿宋_GB2312" w:eastAsia="仿宋_GB2312"/>
          <w:sz w:val="28"/>
          <w:szCs w:val="28"/>
        </w:rPr>
      </w:pPr>
    </w:p>
    <w:tbl>
      <w:tblPr>
        <w:tblStyle w:val="11"/>
        <w:tblW w:w="13493" w:type="dxa"/>
        <w:tblInd w:w="93" w:type="dxa"/>
        <w:tblLayout w:type="fixed"/>
        <w:tblCellMar>
          <w:top w:w="0" w:type="dxa"/>
          <w:left w:w="108" w:type="dxa"/>
          <w:bottom w:w="0" w:type="dxa"/>
          <w:right w:w="108" w:type="dxa"/>
        </w:tblCellMar>
      </w:tblPr>
      <w:tblGrid>
        <w:gridCol w:w="1042"/>
        <w:gridCol w:w="222"/>
        <w:gridCol w:w="2379"/>
        <w:gridCol w:w="1700"/>
        <w:gridCol w:w="1213"/>
        <w:gridCol w:w="1300"/>
        <w:gridCol w:w="1875"/>
        <w:gridCol w:w="1250"/>
        <w:gridCol w:w="2512"/>
      </w:tblGrid>
      <w:tr>
        <w:tblPrEx>
          <w:tblCellMar>
            <w:top w:w="0" w:type="dxa"/>
            <w:left w:w="108" w:type="dxa"/>
            <w:bottom w:w="0" w:type="dxa"/>
            <w:right w:w="108" w:type="dxa"/>
          </w:tblCellMar>
        </w:tblPrEx>
        <w:trPr>
          <w:trHeight w:val="435" w:hRule="atLeast"/>
        </w:trPr>
        <w:tc>
          <w:tcPr>
            <w:tcW w:w="13493" w:type="dxa"/>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379"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70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13"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0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875"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748" w:hRule="atLeast"/>
        </w:trPr>
        <w:tc>
          <w:tcPr>
            <w:tcW w:w="3643" w:type="dxa"/>
            <w:gridSpan w:val="3"/>
            <w:tcBorders>
              <w:top w:val="nil"/>
              <w:left w:val="nil"/>
              <w:bottom w:val="nil"/>
              <w:right w:val="nil"/>
            </w:tcBorders>
            <w:shd w:val="clear" w:color="000000" w:fill="FFFFFF"/>
            <w:noWrap/>
            <w:vAlign w:val="center"/>
          </w:tcPr>
          <w:p>
            <w:pPr>
              <w:widowControl/>
              <w:jc w:val="left"/>
              <w:rPr>
                <w:rFonts w:ascii="宋体" w:hAnsi="宋体" w:cs="宋体"/>
                <w:kern w:val="0"/>
                <w:sz w:val="24"/>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株洲职业教育科技园管理办公室</w:t>
            </w:r>
            <w:r>
              <w:rPr>
                <w:rFonts w:hint="eastAsia" w:ascii="宋体" w:hAnsi="宋体" w:cs="宋体"/>
                <w:kern w:val="0"/>
                <w:sz w:val="24"/>
              </w:rPr>
              <w:t>　　</w:t>
            </w:r>
          </w:p>
        </w:tc>
        <w:tc>
          <w:tcPr>
            <w:tcW w:w="170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13"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300"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75"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4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项    目</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21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87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125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2512"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379"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3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trPr>
        <w:tc>
          <w:tcPr>
            <w:tcW w:w="36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栏次</w:t>
            </w:r>
          </w:p>
        </w:tc>
        <w:tc>
          <w:tcPr>
            <w:tcW w:w="17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3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8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25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450" w:hRule="atLeast"/>
        </w:trPr>
        <w:tc>
          <w:tcPr>
            <w:tcW w:w="36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 w:eastAsia="zh-CN"/>
              </w:rPr>
            </w:pPr>
            <w:r>
              <w:rPr>
                <w:rFonts w:hint="default" w:ascii="宋体" w:hAnsi="宋体" w:cs="宋体"/>
                <w:kern w:val="0"/>
                <w:sz w:val="24"/>
                <w:lang w:val="en" w:eastAsia="zh-CN"/>
              </w:rPr>
              <w:t>439.45</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 w:eastAsia="zh-CN"/>
              </w:rPr>
            </w:pPr>
            <w:r>
              <w:rPr>
                <w:rFonts w:hint="default" w:ascii="宋体" w:hAnsi="宋体" w:cs="宋体"/>
                <w:kern w:val="0"/>
                <w:sz w:val="24"/>
                <w:lang w:val="en" w:eastAsia="zh-CN"/>
              </w:rPr>
              <w:t>420.71</w:t>
            </w:r>
          </w:p>
        </w:tc>
        <w:tc>
          <w:tcPr>
            <w:tcW w:w="1300" w:type="dxa"/>
            <w:tcBorders>
              <w:top w:val="nil"/>
              <w:left w:val="nil"/>
              <w:bottom w:val="single" w:color="auto" w:sz="4" w:space="0"/>
              <w:right w:val="single" w:color="auto" w:sz="4" w:space="0"/>
            </w:tcBorders>
            <w:noWrap/>
            <w:vAlign w:val="center"/>
          </w:tcPr>
          <w:p>
            <w:pPr>
              <w:widowControl/>
              <w:ind w:firstLine="240" w:firstLineChars="100"/>
              <w:jc w:val="both"/>
              <w:rPr>
                <w:rFonts w:hint="default" w:ascii="宋体" w:hAnsi="宋体" w:eastAsia="宋体" w:cs="宋体"/>
                <w:kern w:val="0"/>
                <w:sz w:val="24"/>
                <w:lang w:val="en" w:eastAsia="zh-CN"/>
              </w:rPr>
            </w:pPr>
            <w:r>
              <w:rPr>
                <w:rFonts w:hint="default" w:ascii="宋体" w:hAnsi="宋体" w:cs="宋体"/>
                <w:kern w:val="0"/>
                <w:sz w:val="24"/>
                <w:lang w:val="en" w:eastAsia="zh-CN"/>
              </w:rPr>
              <w:t>18.75</w:t>
            </w:r>
          </w:p>
        </w:tc>
        <w:tc>
          <w:tcPr>
            <w:tcW w:w="187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w:t>
            </w:r>
            <w:r>
              <w:rPr>
                <w:rFonts w:hint="default" w:ascii="Times New Roman" w:hAnsi="Times New Roman" w:cs="Times New Roman"/>
                <w:kern w:val="0"/>
                <w:sz w:val="21"/>
                <w:szCs w:val="21"/>
              </w:rPr>
              <w:t>　</w:t>
            </w:r>
          </w:p>
        </w:tc>
        <w:tc>
          <w:tcPr>
            <w:tcW w:w="2379"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教育支出</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439.45</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1300" w:type="dxa"/>
            <w:tcBorders>
              <w:top w:val="nil"/>
              <w:left w:val="nil"/>
              <w:bottom w:val="single" w:color="auto" w:sz="4" w:space="0"/>
              <w:right w:val="single" w:color="auto" w:sz="4" w:space="0"/>
            </w:tcBorders>
            <w:noWrap/>
            <w:vAlign w:val="center"/>
          </w:tcPr>
          <w:p>
            <w:pPr>
              <w:widowControl/>
              <w:ind w:firstLine="240" w:firstLineChars="100"/>
              <w:jc w:val="both"/>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187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200503</w:t>
            </w:r>
            <w:r>
              <w:rPr>
                <w:rFonts w:hint="default" w:ascii="Times New Roman" w:hAnsi="Times New Roman" w:cs="Times New Roman"/>
                <w:kern w:val="0"/>
                <w:sz w:val="21"/>
                <w:szCs w:val="21"/>
              </w:rPr>
              <w:t>　</w:t>
            </w:r>
          </w:p>
        </w:tc>
        <w:tc>
          <w:tcPr>
            <w:tcW w:w="2379"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eastAsia="zh-CN"/>
              </w:rPr>
              <w:t>职业教育</w:t>
            </w:r>
            <w:r>
              <w:rPr>
                <w:rFonts w:hint="default" w:ascii="Times New Roman" w:hAnsi="Times New Roman" w:cs="Times New Roman"/>
                <w:kern w:val="0"/>
                <w:sz w:val="21"/>
                <w:szCs w:val="21"/>
              </w:rPr>
              <w:t>　</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p>
        </w:tc>
        <w:tc>
          <w:tcPr>
            <w:tcW w:w="13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187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rPr>
              <w:t>2050399</w:t>
            </w:r>
            <w:r>
              <w:rPr>
                <w:rFonts w:hint="default" w:ascii="Times New Roman" w:hAnsi="Times New Roman" w:cs="Times New Roman"/>
                <w:kern w:val="0"/>
                <w:sz w:val="21"/>
                <w:szCs w:val="21"/>
              </w:rPr>
              <w:t>　</w:t>
            </w:r>
          </w:p>
        </w:tc>
        <w:tc>
          <w:tcPr>
            <w:tcW w:w="2379" w:type="dxa"/>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eastAsia="zh-CN"/>
              </w:rPr>
              <w:t>其他职业教育支出</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p>
        </w:tc>
        <w:tc>
          <w:tcPr>
            <w:tcW w:w="13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187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25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512"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20599</w:t>
            </w:r>
          </w:p>
        </w:tc>
        <w:tc>
          <w:tcPr>
            <w:tcW w:w="237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其他教育支出</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13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60</w:t>
            </w:r>
          </w:p>
        </w:tc>
        <w:tc>
          <w:tcPr>
            <w:tcW w:w="1875"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c>
          <w:tcPr>
            <w:tcW w:w="125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c>
          <w:tcPr>
            <w:tcW w:w="2512"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r>
      <w:tr>
        <w:tblPrEx>
          <w:tblCellMar>
            <w:top w:w="0" w:type="dxa"/>
            <w:left w:w="108" w:type="dxa"/>
            <w:bottom w:w="0" w:type="dxa"/>
            <w:right w:w="108" w:type="dxa"/>
          </w:tblCellMar>
        </w:tblPrEx>
        <w:trPr>
          <w:trHeight w:val="458"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2059999</w:t>
            </w:r>
          </w:p>
        </w:tc>
        <w:tc>
          <w:tcPr>
            <w:tcW w:w="2379"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 xml:space="preserve">  其他教育支出</w:t>
            </w:r>
          </w:p>
        </w:tc>
        <w:tc>
          <w:tcPr>
            <w:tcW w:w="17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1213"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13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60</w:t>
            </w:r>
          </w:p>
        </w:tc>
        <w:tc>
          <w:tcPr>
            <w:tcW w:w="1875"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c>
          <w:tcPr>
            <w:tcW w:w="1250"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c>
          <w:tcPr>
            <w:tcW w:w="2512" w:type="dxa"/>
            <w:tcBorders>
              <w:top w:val="nil"/>
              <w:left w:val="nil"/>
              <w:bottom w:val="single" w:color="auto" w:sz="4" w:space="0"/>
              <w:right w:val="single" w:color="auto" w:sz="4" w:space="0"/>
            </w:tcBorders>
            <w:noWrap/>
            <w:vAlign w:val="center"/>
          </w:tcPr>
          <w:p>
            <w:pPr>
              <w:widowControl/>
              <w:jc w:val="right"/>
              <w:rPr>
                <w:rFonts w:hint="eastAsia" w:ascii="宋体" w:hAnsi="宋体" w:cs="宋体"/>
                <w:kern w:val="0"/>
                <w:sz w:val="24"/>
              </w:rPr>
            </w:pPr>
          </w:p>
        </w:tc>
      </w:tr>
      <w:tr>
        <w:tblPrEx>
          <w:tblCellMar>
            <w:top w:w="0" w:type="dxa"/>
            <w:left w:w="108" w:type="dxa"/>
            <w:bottom w:w="0" w:type="dxa"/>
            <w:right w:w="108" w:type="dxa"/>
          </w:tblCellMar>
        </w:tblPrEx>
        <w:trPr>
          <w:trHeight w:val="630" w:hRule="atLeast"/>
        </w:trPr>
        <w:tc>
          <w:tcPr>
            <w:tcW w:w="13493" w:type="dxa"/>
            <w:gridSpan w:val="9"/>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注：本表反映部门本年度各项支出情况。</w:t>
            </w:r>
          </w:p>
        </w:tc>
      </w:tr>
    </w:tbl>
    <w:p>
      <w:pPr>
        <w:tabs>
          <w:tab w:val="left" w:pos="7560"/>
        </w:tabs>
        <w:adjustRightInd w:val="0"/>
        <w:snapToGrid w:val="0"/>
        <w:spacing w:line="560" w:lineRule="exact"/>
        <w:jc w:val="left"/>
        <w:rPr>
          <w:rFonts w:ascii="仿宋_GB2312" w:eastAsia="仿宋_GB2312"/>
          <w:sz w:val="28"/>
          <w:szCs w:val="28"/>
        </w:rPr>
      </w:pPr>
    </w:p>
    <w:p>
      <w:r>
        <w:br w:type="page"/>
      </w:r>
    </w:p>
    <w:tbl>
      <w:tblPr>
        <w:tblStyle w:val="11"/>
        <w:tblW w:w="14561" w:type="dxa"/>
        <w:tblInd w:w="-659" w:type="dxa"/>
        <w:tblLayout w:type="autofit"/>
        <w:tblCellMar>
          <w:top w:w="0" w:type="dxa"/>
          <w:left w:w="108" w:type="dxa"/>
          <w:bottom w:w="0" w:type="dxa"/>
          <w:right w:w="108" w:type="dxa"/>
        </w:tblCellMar>
      </w:tblPr>
      <w:tblGrid>
        <w:gridCol w:w="3363"/>
        <w:gridCol w:w="239"/>
        <w:gridCol w:w="209"/>
        <w:gridCol w:w="227"/>
        <w:gridCol w:w="992"/>
        <w:gridCol w:w="258"/>
        <w:gridCol w:w="3002"/>
        <w:gridCol w:w="315"/>
        <w:gridCol w:w="406"/>
        <w:gridCol w:w="1471"/>
        <w:gridCol w:w="1303"/>
        <w:gridCol w:w="1303"/>
        <w:gridCol w:w="1473"/>
      </w:tblGrid>
      <w:tr>
        <w:tblPrEx>
          <w:tblCellMar>
            <w:top w:w="0" w:type="dxa"/>
            <w:left w:w="108" w:type="dxa"/>
            <w:bottom w:w="0" w:type="dxa"/>
            <w:right w:w="108" w:type="dxa"/>
          </w:tblCellMar>
        </w:tblPrEx>
        <w:trPr>
          <w:trHeight w:val="281" w:hRule="atLeast"/>
        </w:trPr>
        <w:tc>
          <w:tcPr>
            <w:tcW w:w="3363" w:type="dxa"/>
            <w:tcBorders>
              <w:top w:val="nil"/>
              <w:left w:val="nil"/>
              <w:bottom w:val="nil"/>
              <w:right w:val="nil"/>
            </w:tcBorders>
            <w:noWrap/>
            <w:vAlign w:val="center"/>
          </w:tcPr>
          <w:p>
            <w:pPr>
              <w:widowControl/>
              <w:spacing w:line="240" w:lineRule="exact"/>
              <w:jc w:val="left"/>
              <w:rPr>
                <w:rFonts w:ascii="黑体" w:hAnsi="黑体" w:eastAsia="黑体" w:cs="宋体"/>
                <w:kern w:val="0"/>
                <w:sz w:val="24"/>
              </w:rPr>
            </w:pPr>
            <w:r>
              <w:rPr>
                <w:rFonts w:ascii="仿宋_GB2312" w:hAnsi="Times New Roman" w:eastAsia="仿宋_GB2312" w:cs="Times New Roman"/>
                <w:sz w:val="28"/>
                <w:szCs w:val="28"/>
              </w:rPr>
              <w:br w:type="page"/>
            </w:r>
          </w:p>
        </w:tc>
        <w:tc>
          <w:tcPr>
            <w:tcW w:w="448" w:type="dxa"/>
            <w:gridSpan w:val="2"/>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1477" w:type="dxa"/>
            <w:gridSpan w:val="3"/>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3317" w:type="dxa"/>
            <w:gridSpan w:val="2"/>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406" w:type="dxa"/>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1471" w:type="dxa"/>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1303" w:type="dxa"/>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1303" w:type="dxa"/>
            <w:tcBorders>
              <w:top w:val="nil"/>
              <w:left w:val="nil"/>
              <w:bottom w:val="nil"/>
              <w:right w:val="nil"/>
            </w:tcBorders>
            <w:noWrap/>
            <w:vAlign w:val="center"/>
          </w:tcPr>
          <w:p>
            <w:pPr>
              <w:widowControl/>
              <w:spacing w:line="240" w:lineRule="exact"/>
              <w:jc w:val="right"/>
              <w:rPr>
                <w:rFonts w:ascii="宋体" w:hAnsi="宋体" w:cs="宋体"/>
                <w:kern w:val="0"/>
                <w:sz w:val="24"/>
              </w:rPr>
            </w:pPr>
          </w:p>
        </w:tc>
        <w:tc>
          <w:tcPr>
            <w:tcW w:w="1473" w:type="dxa"/>
            <w:tcBorders>
              <w:top w:val="nil"/>
              <w:left w:val="nil"/>
              <w:bottom w:val="nil"/>
              <w:right w:val="nil"/>
            </w:tcBorders>
            <w:noWrap/>
            <w:vAlign w:val="center"/>
          </w:tcPr>
          <w:p>
            <w:pPr>
              <w:widowControl/>
              <w:spacing w:line="240" w:lineRule="exact"/>
              <w:jc w:val="right"/>
              <w:rPr>
                <w:rFonts w:ascii="宋体" w:hAnsi="宋体" w:cs="宋体"/>
                <w:kern w:val="0"/>
                <w:sz w:val="24"/>
              </w:rPr>
            </w:pPr>
          </w:p>
        </w:tc>
      </w:tr>
      <w:tr>
        <w:tblPrEx>
          <w:tblCellMar>
            <w:top w:w="0" w:type="dxa"/>
            <w:left w:w="108" w:type="dxa"/>
            <w:bottom w:w="0" w:type="dxa"/>
            <w:right w:w="108" w:type="dxa"/>
          </w:tblCellMar>
        </w:tblPrEx>
        <w:trPr>
          <w:trHeight w:val="355" w:hRule="atLeast"/>
        </w:trPr>
        <w:tc>
          <w:tcPr>
            <w:tcW w:w="14561" w:type="dxa"/>
            <w:gridSpan w:val="13"/>
            <w:tcBorders>
              <w:top w:val="nil"/>
              <w:left w:val="nil"/>
              <w:bottom w:val="nil"/>
              <w:right w:val="nil"/>
            </w:tcBorders>
            <w:noWrap/>
            <w:vAlign w:val="center"/>
          </w:tcPr>
          <w:p>
            <w:pPr>
              <w:widowControl/>
              <w:spacing w:line="280" w:lineRule="exact"/>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6" w:hRule="atLeast"/>
        </w:trPr>
        <w:tc>
          <w:tcPr>
            <w:tcW w:w="336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448" w:type="dxa"/>
            <w:gridSpan w:val="2"/>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219" w:type="dxa"/>
            <w:gridSpan w:val="2"/>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3575" w:type="dxa"/>
            <w:gridSpan w:val="3"/>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406"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471"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30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30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47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color w:val="000000"/>
                <w:kern w:val="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trHeight w:val="296" w:hRule="atLeast"/>
        </w:trPr>
        <w:tc>
          <w:tcPr>
            <w:tcW w:w="3363" w:type="dxa"/>
            <w:tcBorders>
              <w:top w:val="nil"/>
              <w:left w:val="nil"/>
              <w:bottom w:val="nil"/>
              <w:right w:val="nil"/>
            </w:tcBorders>
            <w:shd w:val="clear" w:color="000000" w:fill="FFFFFF"/>
            <w:noWrap/>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448" w:type="dxa"/>
            <w:gridSpan w:val="2"/>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219" w:type="dxa"/>
            <w:gridSpan w:val="2"/>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3575" w:type="dxa"/>
            <w:gridSpan w:val="3"/>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406"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471"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30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30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kern w:val="0"/>
                <w:sz w:val="24"/>
              </w:rPr>
            </w:pPr>
            <w:r>
              <w:rPr>
                <w:rFonts w:hint="eastAsia" w:ascii="宋体" w:hAnsi="宋体" w:cs="宋体"/>
                <w:kern w:val="0"/>
                <w:sz w:val="24"/>
              </w:rPr>
              <w:t>　</w:t>
            </w:r>
          </w:p>
        </w:tc>
        <w:tc>
          <w:tcPr>
            <w:tcW w:w="1473" w:type="dxa"/>
            <w:tcBorders>
              <w:top w:val="nil"/>
              <w:left w:val="nil"/>
              <w:bottom w:val="nil"/>
              <w:right w:val="nil"/>
            </w:tcBorders>
            <w:shd w:val="clear" w:color="000000" w:fill="FFFFFF"/>
            <w:noWrap/>
            <w:vAlign w:val="center"/>
          </w:tcPr>
          <w:p>
            <w:pPr>
              <w:widowControl/>
              <w:spacing w:line="240" w:lineRule="exact"/>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97" w:hRule="atLeast"/>
        </w:trPr>
        <w:tc>
          <w:tcPr>
            <w:tcW w:w="5030"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4"/>
              </w:rPr>
            </w:pPr>
            <w:r>
              <w:rPr>
                <w:rFonts w:hint="eastAsia" w:ascii="宋体" w:hAnsi="宋体" w:cs="宋体"/>
                <w:kern w:val="0"/>
                <w:sz w:val="24"/>
              </w:rPr>
              <w:t>收入</w:t>
            </w:r>
          </w:p>
        </w:tc>
        <w:tc>
          <w:tcPr>
            <w:tcW w:w="9531"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621"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项    目</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行次</w:t>
            </w:r>
          </w:p>
        </w:tc>
        <w:tc>
          <w:tcPr>
            <w:tcW w:w="99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金额</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项    目</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行次</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合计</w:t>
            </w:r>
          </w:p>
        </w:tc>
        <w:tc>
          <w:tcPr>
            <w:tcW w:w="13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一般公共预算财政拨款</w:t>
            </w:r>
          </w:p>
        </w:tc>
        <w:tc>
          <w:tcPr>
            <w:tcW w:w="13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政府性基金预算财政拨款</w:t>
            </w:r>
          </w:p>
        </w:tc>
        <w:tc>
          <w:tcPr>
            <w:tcW w:w="147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国有资本经营预算财政拨款</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栏    次</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　</w:t>
            </w:r>
          </w:p>
        </w:tc>
        <w:tc>
          <w:tcPr>
            <w:tcW w:w="992"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1</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栏    次</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　</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2</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3</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4</w:t>
            </w:r>
          </w:p>
        </w:tc>
        <w:tc>
          <w:tcPr>
            <w:tcW w:w="147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szCs w:val="22"/>
              </w:rPr>
            </w:pPr>
            <w:r>
              <w:rPr>
                <w:rFonts w:hint="eastAsia" w:ascii="宋体" w:hAnsi="宋体" w:cs="宋体"/>
                <w:kern w:val="0"/>
                <w:sz w:val="22"/>
                <w:szCs w:val="22"/>
              </w:rPr>
              <w:t>5</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一、一般公共预算财政拨款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default" w:cs="Times New Roman"/>
                <w:kern w:val="0"/>
                <w:sz w:val="22"/>
                <w:lang w:val="en" w:eastAsia="zh-CN"/>
              </w:rPr>
              <w:t>439.45</w:t>
            </w: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一、一般公共服务支出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14</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二、政府性基金预算财政拨款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二、外交支出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15</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三、国有资本经营预算财政拨款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3</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三、国防支出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16</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4</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四、公共安全支出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17</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5</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五、教育支出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18</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22"/>
                <w:lang w:val="en-US"/>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22"/>
                <w:lang w:val="en-US"/>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6</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六、科学技术支出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19</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7</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4"/>
              </w:rPr>
            </w:pPr>
            <w:r>
              <w:rPr>
                <w:rFonts w:hint="eastAsia" w:ascii="Times New Roman" w:hAnsi="Times New Roman" w:cs="Times New Roman"/>
                <w:kern w:val="0"/>
                <w:sz w:val="24"/>
                <w:lang w:eastAsia="zh-CN"/>
              </w:rPr>
              <w:t>八</w:t>
            </w:r>
            <w:r>
              <w:rPr>
                <w:rFonts w:hint="default" w:ascii="Times New Roman" w:hAnsi="Times New Roman" w:cs="Times New Roman"/>
                <w:kern w:val="0"/>
                <w:sz w:val="24"/>
                <w:lang w:eastAsia="zh-CN"/>
              </w:rPr>
              <w:t>、社会保障和就业支出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20</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22"/>
                <w:lang w:val="en-US"/>
              </w:rPr>
            </w:pPr>
          </w:p>
        </w:tc>
        <w:tc>
          <w:tcPr>
            <w:tcW w:w="1303" w:type="dxa"/>
            <w:tcBorders>
              <w:top w:val="nil"/>
              <w:left w:val="nil"/>
              <w:bottom w:val="single" w:color="auto" w:sz="4" w:space="0"/>
              <w:right w:val="single" w:color="auto" w:sz="4" w:space="0"/>
            </w:tcBorders>
            <w:noWrap/>
            <w:vAlign w:val="center"/>
          </w:tcPr>
          <w:p>
            <w:pPr>
              <w:widowControl/>
              <w:spacing w:line="240" w:lineRule="exact"/>
              <w:jc w:val="both"/>
              <w:rPr>
                <w:rFonts w:hint="default" w:ascii="宋体" w:hAnsi="宋体" w:cs="宋体"/>
                <w:kern w:val="0"/>
                <w:sz w:val="22"/>
                <w:lang w:val="en-US"/>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b/>
                <w:bCs/>
                <w:kern w:val="0"/>
                <w:sz w:val="22"/>
              </w:rPr>
            </w:pP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hint="eastAsia" w:ascii="Times New Roman" w:hAnsi="Times New Roman" w:cs="Times New Roman"/>
                <w:kern w:val="0"/>
                <w:sz w:val="22"/>
                <w:lang w:val="en-US" w:eastAsia="zh-CN"/>
              </w:rPr>
            </w:pP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both"/>
              <w:rPr>
                <w:rFonts w:hint="eastAsia" w:ascii="宋体" w:hAnsi="宋体" w:eastAsia="宋体" w:cs="宋体"/>
                <w:b/>
                <w:bCs/>
                <w:kern w:val="0"/>
                <w:sz w:val="22"/>
                <w:lang w:eastAsia="zh-CN"/>
              </w:rPr>
            </w:pPr>
            <w:r>
              <w:rPr>
                <w:rFonts w:hint="eastAsia" w:ascii="Times New Roman" w:hAnsi="Times New Roman" w:cs="Times New Roman"/>
                <w:kern w:val="0"/>
                <w:sz w:val="24"/>
                <w:lang w:eastAsia="zh-CN"/>
              </w:rPr>
              <w:t>九、卫生健康支出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hint="eastAsia" w:ascii="宋体" w:hAnsi="宋体" w:cs="宋体"/>
                <w:b/>
                <w:bCs/>
                <w:kern w:val="0"/>
                <w:sz w:val="22"/>
              </w:rPr>
            </w:pP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b/>
                <w:bCs/>
                <w:kern w:val="0"/>
                <w:sz w:val="22"/>
              </w:rPr>
            </w:pP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hint="eastAsia" w:ascii="Times New Roman" w:hAnsi="Times New Roman" w:cs="Times New Roman"/>
                <w:kern w:val="0"/>
                <w:sz w:val="22"/>
                <w:lang w:val="en-US" w:eastAsia="zh-CN"/>
              </w:rPr>
            </w:pP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both"/>
              <w:rPr>
                <w:rFonts w:hint="eastAsia" w:ascii="宋体" w:hAnsi="宋体" w:eastAsia="宋体" w:cs="宋体"/>
                <w:b/>
                <w:bCs/>
                <w:kern w:val="0"/>
                <w:sz w:val="22"/>
                <w:lang w:eastAsia="zh-CN"/>
              </w:rPr>
            </w:pPr>
            <w:r>
              <w:rPr>
                <w:rFonts w:hint="eastAsia" w:ascii="Times New Roman" w:hAnsi="Times New Roman" w:cs="Times New Roman"/>
                <w:kern w:val="0"/>
                <w:sz w:val="24"/>
                <w:lang w:eastAsia="zh-CN"/>
              </w:rPr>
              <w:t>十九、住房保障支出</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both"/>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hint="eastAsia" w:ascii="宋体" w:hAnsi="宋体" w:cs="宋体"/>
                <w:b/>
                <w:bCs/>
                <w:kern w:val="0"/>
                <w:sz w:val="22"/>
              </w:rPr>
            </w:pP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b/>
                <w:bCs/>
                <w:kern w:val="0"/>
                <w:sz w:val="22"/>
              </w:rPr>
            </w:pP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hint="eastAsia" w:ascii="Times New Roman" w:hAnsi="Times New Roman" w:cs="Times New Roman"/>
                <w:kern w:val="0"/>
                <w:sz w:val="22"/>
                <w:lang w:val="en-US" w:eastAsia="zh-CN"/>
              </w:rPr>
            </w:pP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b/>
                <w:bCs/>
                <w:kern w:val="0"/>
                <w:sz w:val="22"/>
              </w:rPr>
            </w:pP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kern w:val="0"/>
                <w:sz w:val="22"/>
                <w:lang w:val="en-US" w:eastAsia="zh-CN"/>
              </w:rPr>
            </w:pP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22"/>
              </w:rPr>
            </w:pP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hint="eastAsia" w:ascii="宋体" w:hAnsi="宋体" w:cs="宋体"/>
                <w:b/>
                <w:bCs/>
                <w:kern w:val="0"/>
                <w:sz w:val="22"/>
              </w:rPr>
            </w:pP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b/>
                <w:bCs/>
                <w:kern w:val="0"/>
                <w:sz w:val="22"/>
              </w:rPr>
            </w:pPr>
            <w:r>
              <w:rPr>
                <w:rFonts w:hint="eastAsia" w:ascii="宋体" w:hAnsi="宋体" w:cs="宋体"/>
                <w:b/>
                <w:bCs/>
                <w:kern w:val="0"/>
                <w:sz w:val="22"/>
              </w:rPr>
              <w:t>本年收入合计</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8</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default" w:cs="Times New Roman"/>
                <w:kern w:val="0"/>
                <w:sz w:val="22"/>
                <w:lang w:val="en" w:eastAsia="zh-CN"/>
              </w:rPr>
              <w:t>439.45</w:t>
            </w: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b/>
                <w:bCs/>
                <w:kern w:val="0"/>
                <w:sz w:val="22"/>
              </w:rPr>
            </w:pPr>
            <w:r>
              <w:rPr>
                <w:rFonts w:hint="eastAsia" w:ascii="宋体" w:hAnsi="宋体" w:cs="宋体"/>
                <w:b/>
                <w:bCs/>
                <w:kern w:val="0"/>
                <w:sz w:val="22"/>
              </w:rPr>
              <w:t>本年支出合计</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21</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22"/>
                <w:lang w:val="en-US"/>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hint="default" w:ascii="宋体" w:hAnsi="宋体" w:cs="宋体"/>
                <w:kern w:val="0"/>
                <w:sz w:val="22"/>
                <w:lang w:val="en-US"/>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年初财政拨款结转和结余</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9</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年末财政拨款结转和结余</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22</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xml:space="preserve">      一般公共预算财政拨款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10</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23</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xml:space="preserve">        政府性基金预算财政拨款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11</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24</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xml:space="preserve">      国有资本经营预算财政拨款</w:t>
            </w:r>
          </w:p>
        </w:tc>
        <w:tc>
          <w:tcPr>
            <w:tcW w:w="436"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12</w:t>
            </w:r>
          </w:p>
        </w:tc>
        <w:tc>
          <w:tcPr>
            <w:tcW w:w="992" w:type="dxa"/>
            <w:tcBorders>
              <w:top w:val="nil"/>
              <w:left w:val="nil"/>
              <w:bottom w:val="single" w:color="auto" w:sz="4" w:space="0"/>
              <w:right w:val="single" w:color="auto" w:sz="4" w:space="0"/>
            </w:tcBorders>
            <w:noWrap/>
            <w:vAlign w:val="center"/>
          </w:tcPr>
          <w:p>
            <w:pPr>
              <w:widowControl/>
              <w:spacing w:line="240" w:lineRule="exact"/>
              <w:jc w:val="right"/>
              <w:rPr>
                <w:rFonts w:ascii="宋体" w:hAnsi="宋体" w:cs="宋体"/>
                <w:kern w:val="0"/>
                <w:sz w:val="22"/>
              </w:rPr>
            </w:pP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c>
          <w:tcPr>
            <w:tcW w:w="721"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25</w:t>
            </w:r>
          </w:p>
        </w:tc>
        <w:tc>
          <w:tcPr>
            <w:tcW w:w="147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303"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3602" w:type="dxa"/>
            <w:gridSpan w:val="2"/>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22"/>
              </w:rPr>
            </w:pPr>
            <w:r>
              <w:rPr>
                <w:rFonts w:hint="eastAsia" w:ascii="宋体" w:hAnsi="宋体" w:cs="宋体"/>
                <w:b/>
                <w:bCs/>
                <w:kern w:val="0"/>
                <w:sz w:val="22"/>
              </w:rPr>
              <w:t>总计</w:t>
            </w:r>
          </w:p>
        </w:tc>
        <w:tc>
          <w:tcPr>
            <w:tcW w:w="436" w:type="dxa"/>
            <w:gridSpan w:val="2"/>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13</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ascii="宋体" w:hAnsi="宋体" w:cs="宋体"/>
                <w:kern w:val="0"/>
                <w:sz w:val="22"/>
              </w:rPr>
            </w:pPr>
            <w:r>
              <w:rPr>
                <w:rFonts w:hint="default" w:cs="Times New Roman"/>
                <w:kern w:val="0"/>
                <w:sz w:val="22"/>
                <w:lang w:val="en" w:eastAsia="zh-CN"/>
              </w:rPr>
              <w:t>439.45</w:t>
            </w:r>
            <w:r>
              <w:rPr>
                <w:rFonts w:hint="eastAsia" w:ascii="宋体" w:hAnsi="宋体" w:cs="宋体"/>
                <w:kern w:val="0"/>
                <w:sz w:val="22"/>
              </w:rPr>
              <w:t>　</w:t>
            </w:r>
          </w:p>
        </w:tc>
        <w:tc>
          <w:tcPr>
            <w:tcW w:w="3260" w:type="dxa"/>
            <w:gridSpan w:val="2"/>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b/>
                <w:bCs/>
                <w:kern w:val="0"/>
                <w:sz w:val="22"/>
              </w:rPr>
            </w:pPr>
            <w:r>
              <w:rPr>
                <w:rFonts w:hint="eastAsia" w:ascii="宋体" w:hAnsi="宋体" w:cs="宋体"/>
                <w:b/>
                <w:bCs/>
                <w:kern w:val="0"/>
                <w:sz w:val="22"/>
              </w:rPr>
              <w:t>总计</w:t>
            </w:r>
          </w:p>
        </w:tc>
        <w:tc>
          <w:tcPr>
            <w:tcW w:w="721" w:type="dxa"/>
            <w:gridSpan w:val="2"/>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2"/>
              </w:rPr>
            </w:pPr>
            <w:r>
              <w:rPr>
                <w:rFonts w:hint="eastAsia" w:ascii="宋体" w:hAnsi="宋体" w:cs="宋体"/>
                <w:kern w:val="0"/>
                <w:sz w:val="22"/>
              </w:rPr>
              <w:t>26</w:t>
            </w:r>
          </w:p>
        </w:tc>
        <w:tc>
          <w:tcPr>
            <w:tcW w:w="1471"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2"/>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宋体" w:hAnsi="宋体" w:cs="宋体"/>
                <w:kern w:val="0"/>
                <w:sz w:val="22"/>
              </w:rPr>
            </w:pPr>
            <w:r>
              <w:rPr>
                <w:rFonts w:hint="default" w:cs="Times New Roman"/>
                <w:kern w:val="0"/>
                <w:sz w:val="22"/>
                <w:lang w:val="en" w:eastAsia="zh-CN"/>
              </w:rPr>
              <w:t>439.45</w:t>
            </w:r>
          </w:p>
        </w:tc>
        <w:tc>
          <w:tcPr>
            <w:tcW w:w="130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b/>
                <w:bCs/>
                <w:kern w:val="0"/>
                <w:sz w:val="22"/>
              </w:rPr>
            </w:pPr>
            <w:r>
              <w:rPr>
                <w:rFonts w:hint="eastAsia" w:ascii="宋体" w:hAnsi="宋体" w:cs="宋体"/>
                <w:b/>
                <w:bCs/>
                <w:kern w:val="0"/>
                <w:sz w:val="22"/>
              </w:rPr>
              <w:t>　</w:t>
            </w:r>
          </w:p>
        </w:tc>
        <w:tc>
          <w:tcPr>
            <w:tcW w:w="147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274" w:hRule="atLeast"/>
        </w:trPr>
        <w:tc>
          <w:tcPr>
            <w:tcW w:w="14561" w:type="dxa"/>
            <w:gridSpan w:val="13"/>
            <w:tcBorders>
              <w:top w:val="nil"/>
              <w:left w:val="nil"/>
              <w:bottom w:val="nil"/>
              <w:right w:val="nil"/>
            </w:tcBorders>
            <w:noWrap w:val="0"/>
            <w:vAlign w:val="center"/>
          </w:tcPr>
          <w:p>
            <w:pPr>
              <w:widowControl/>
              <w:spacing w:line="240" w:lineRule="exact"/>
              <w:jc w:val="left"/>
              <w:rPr>
                <w:rFonts w:ascii="宋体" w:hAnsi="宋体" w:cs="宋体"/>
                <w:kern w:val="0"/>
                <w:sz w:val="24"/>
              </w:rPr>
            </w:pPr>
            <w:r>
              <w:rPr>
                <w:rFonts w:hint="eastAsia" w:ascii="宋体" w:hAnsi="宋体" w:cs="宋体"/>
                <w:kern w:val="0"/>
                <w:sz w:val="24"/>
              </w:rPr>
              <w:t>注：本表反映部门本年度一般公共预算财政拨款、政府性基金预算财政拨款和国有资本经营预算财政拨款的总收支和年末结转结余情况。</w:t>
            </w:r>
          </w:p>
        </w:tc>
      </w:tr>
    </w:tbl>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p>
    <w:p>
      <w:pPr>
        <w:widowControl/>
        <w:jc w:val="center"/>
        <w:rPr>
          <w:rFonts w:eastAsia="方正小标宋_GBK"/>
          <w:kern w:val="0"/>
          <w:sz w:val="36"/>
          <w:szCs w:val="36"/>
        </w:rPr>
      </w:pPr>
      <w:r>
        <w:rPr>
          <w:rFonts w:eastAsia="方正小标宋_GBK"/>
          <w:kern w:val="0"/>
          <w:sz w:val="36"/>
          <w:szCs w:val="36"/>
        </w:rPr>
        <w:t>一般公共预算财政拨款支出决算表</w:t>
      </w:r>
    </w:p>
    <w:p>
      <w:pPr>
        <w:widowControl/>
        <w:spacing w:before="120" w:beforeLines="50"/>
        <w:ind w:firstLine="11235" w:firstLineChars="5350"/>
        <w:rPr>
          <w:rFonts w:eastAsia="仿宋_GB2312"/>
          <w:color w:val="000000"/>
          <w:kern w:val="0"/>
          <w:szCs w:val="21"/>
        </w:rPr>
      </w:pPr>
      <w:r>
        <w:rPr>
          <w:rFonts w:eastAsia="仿宋_GB2312"/>
          <w:color w:val="000000"/>
          <w:kern w:val="0"/>
          <w:szCs w:val="21"/>
        </w:rPr>
        <w:t>部门：公开05表</w:t>
      </w:r>
    </w:p>
    <w:p>
      <w:pPr>
        <w:widowControl/>
        <w:ind w:firstLine="11445" w:firstLineChars="5450"/>
        <w:jc w:val="left"/>
        <w:rPr>
          <w:color w:val="000000"/>
          <w:kern w:val="0"/>
          <w:sz w:val="20"/>
          <w:szCs w:val="20"/>
        </w:rPr>
      </w:pPr>
      <w:r>
        <w:rPr>
          <w:rFonts w:eastAsia="仿宋_GB2312"/>
          <w:color w:val="000000"/>
          <w:kern w:val="0"/>
          <w:szCs w:val="21"/>
        </w:rPr>
        <w:t>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项 目</w:t>
            </w:r>
          </w:p>
        </w:tc>
        <w:tc>
          <w:tcPr>
            <w:tcW w:w="9492" w:type="dxa"/>
            <w:gridSpan w:val="3"/>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本年支出</w:t>
            </w:r>
          </w:p>
        </w:tc>
      </w:tr>
      <w:tr>
        <w:tblPrEx>
          <w:tblCellMar>
            <w:top w:w="0" w:type="dxa"/>
            <w:left w:w="108" w:type="dxa"/>
            <w:bottom w:w="0" w:type="dxa"/>
            <w:right w:w="108" w:type="dxa"/>
          </w:tblCellMar>
        </w:tblPrEx>
        <w:trPr>
          <w:trHeight w:val="624" w:hRule="atLeast"/>
          <w:jc w:val="center"/>
        </w:trPr>
        <w:tc>
          <w:tcPr>
            <w:tcW w:w="1200" w:type="dxa"/>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功能分类科目编码</w:t>
            </w:r>
          </w:p>
        </w:tc>
        <w:tc>
          <w:tcPr>
            <w:tcW w:w="352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科目名称</w:t>
            </w:r>
          </w:p>
        </w:tc>
        <w:tc>
          <w:tcPr>
            <w:tcW w:w="30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小计</w:t>
            </w:r>
          </w:p>
        </w:tc>
        <w:tc>
          <w:tcPr>
            <w:tcW w:w="3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基本支出</w:t>
            </w:r>
          </w:p>
        </w:tc>
        <w:tc>
          <w:tcPr>
            <w:tcW w:w="300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项目支出</w:t>
            </w:r>
          </w:p>
        </w:tc>
      </w:tr>
      <w:tr>
        <w:tblPrEx>
          <w:tblCellMar>
            <w:top w:w="0" w:type="dxa"/>
            <w:left w:w="108" w:type="dxa"/>
            <w:bottom w:w="0" w:type="dxa"/>
            <w:right w:w="108" w:type="dxa"/>
          </w:tblCellMar>
        </w:tblPrEx>
        <w:trPr>
          <w:trHeight w:val="624"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Times New Roman"/>
                <w:kern w:val="0"/>
                <w:sz w:val="24"/>
              </w:rPr>
            </w:pPr>
          </w:p>
        </w:tc>
        <w:tc>
          <w:tcPr>
            <w:tcW w:w="35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Times New Roman"/>
                <w:kern w:val="0"/>
                <w:sz w:val="24"/>
              </w:rPr>
            </w:pPr>
          </w:p>
        </w:tc>
        <w:tc>
          <w:tcPr>
            <w:tcW w:w="3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Times New Roman"/>
                <w:kern w:val="0"/>
                <w:sz w:val="24"/>
              </w:rPr>
            </w:pPr>
          </w:p>
        </w:tc>
      </w:tr>
      <w:tr>
        <w:tblPrEx>
          <w:tblCellMar>
            <w:top w:w="0" w:type="dxa"/>
            <w:left w:w="108" w:type="dxa"/>
            <w:bottom w:w="0" w:type="dxa"/>
            <w:right w:w="108" w:type="dxa"/>
          </w:tblCellMar>
        </w:tblPrEx>
        <w:trPr>
          <w:trHeight w:val="624" w:hRule="atLeast"/>
          <w:jc w:val="center"/>
        </w:trPr>
        <w:tc>
          <w:tcPr>
            <w:tcW w:w="1200"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Times New Roman"/>
                <w:kern w:val="0"/>
                <w:sz w:val="24"/>
              </w:rPr>
            </w:pPr>
          </w:p>
        </w:tc>
        <w:tc>
          <w:tcPr>
            <w:tcW w:w="35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Times New Roman"/>
                <w:kern w:val="0"/>
                <w:sz w:val="24"/>
              </w:rPr>
            </w:pPr>
          </w:p>
        </w:tc>
        <w:tc>
          <w:tcPr>
            <w:tcW w:w="30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3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300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Times New Roman"/>
                <w:kern w:val="0"/>
                <w:sz w:val="24"/>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栏次</w:t>
            </w:r>
          </w:p>
        </w:tc>
        <w:tc>
          <w:tcPr>
            <w:tcW w:w="300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1</w:t>
            </w:r>
          </w:p>
        </w:tc>
        <w:tc>
          <w:tcPr>
            <w:tcW w:w="3492"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2</w:t>
            </w:r>
          </w:p>
        </w:tc>
        <w:tc>
          <w:tcPr>
            <w:tcW w:w="3000" w:type="dxa"/>
            <w:tcBorders>
              <w:top w:val="nil"/>
              <w:left w:val="nil"/>
              <w:bottom w:val="single" w:color="auto" w:sz="4" w:space="0"/>
              <w:right w:val="single" w:color="auto"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合计</w:t>
            </w:r>
          </w:p>
        </w:tc>
        <w:tc>
          <w:tcPr>
            <w:tcW w:w="300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hint="default" w:cs="Times New Roman"/>
                <w:kern w:val="0"/>
                <w:sz w:val="22"/>
                <w:lang w:val="en" w:eastAsia="zh-CN"/>
              </w:rPr>
              <w:t>439.45</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宋体" w:hAnsi="宋体" w:cs="Times New Roman"/>
                <w:kern w:val="0"/>
                <w:sz w:val="24"/>
                <w:lang w:val="en"/>
              </w:rPr>
            </w:pPr>
            <w:r>
              <w:rPr>
                <w:rFonts w:hint="default" w:ascii="宋体" w:hAnsi="宋体" w:cs="宋体"/>
                <w:kern w:val="0"/>
                <w:sz w:val="24"/>
                <w:lang w:val="en" w:eastAsia="zh-CN"/>
              </w:rPr>
              <w:t>420.71</w:t>
            </w:r>
          </w:p>
        </w:tc>
        <w:tc>
          <w:tcPr>
            <w:tcW w:w="3000" w:type="dxa"/>
            <w:tcBorders>
              <w:top w:val="nil"/>
              <w:left w:val="nil"/>
              <w:bottom w:val="single" w:color="auto" w:sz="4" w:space="0"/>
              <w:right w:val="single" w:color="auto" w:sz="8" w:space="0"/>
            </w:tcBorders>
            <w:noWrap w:val="0"/>
            <w:vAlign w:val="center"/>
          </w:tcPr>
          <w:p>
            <w:pPr>
              <w:widowControl/>
              <w:ind w:firstLine="960" w:firstLineChars="400"/>
              <w:jc w:val="both"/>
              <w:rPr>
                <w:rFonts w:hint="default" w:ascii="宋体" w:hAnsi="宋体" w:cs="Times New Roman"/>
                <w:kern w:val="0"/>
                <w:sz w:val="24"/>
                <w:lang w:val="en"/>
              </w:rPr>
            </w:pPr>
            <w:r>
              <w:rPr>
                <w:rFonts w:hint="default" w:ascii="宋体" w:hAnsi="宋体" w:cs="宋体"/>
                <w:kern w:val="0"/>
                <w:sz w:val="24"/>
                <w:lang w:val="en" w:eastAsia="zh-CN"/>
              </w:rPr>
              <w:t>18.75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w:t>
            </w:r>
            <w:r>
              <w:rPr>
                <w:rFonts w:hint="default" w:ascii="Times New Roman" w:hAnsi="Times New Roman" w:cs="Times New Roman"/>
                <w:kern w:val="0"/>
                <w:sz w:val="21"/>
                <w:szCs w:val="21"/>
              </w:rPr>
              <w:t>　</w:t>
            </w:r>
          </w:p>
        </w:tc>
        <w:tc>
          <w:tcPr>
            <w:tcW w:w="35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教育支出</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cs="Times New Roman"/>
                <w:kern w:val="0"/>
                <w:sz w:val="22"/>
                <w:lang w:val="en" w:eastAsia="zh-CN"/>
              </w:rPr>
              <w:t>439.45</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300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200503</w:t>
            </w:r>
            <w:r>
              <w:rPr>
                <w:rFonts w:hint="default" w:ascii="Times New Roman" w:hAnsi="Times New Roman" w:cs="Times New Roman"/>
                <w:kern w:val="0"/>
                <w:sz w:val="21"/>
                <w:szCs w:val="21"/>
              </w:rPr>
              <w:t>　</w:t>
            </w:r>
          </w:p>
        </w:tc>
        <w:tc>
          <w:tcPr>
            <w:tcW w:w="35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职业教育</w:t>
            </w:r>
            <w:r>
              <w:rPr>
                <w:rFonts w:hint="default" w:ascii="Times New Roman" w:hAnsi="Times New Roman" w:cs="Times New Roman"/>
                <w:kern w:val="0"/>
                <w:sz w:val="21"/>
                <w:szCs w:val="21"/>
              </w:rPr>
              <w:t>　</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2050399</w:t>
            </w:r>
            <w:r>
              <w:rPr>
                <w:rFonts w:hint="default" w:ascii="Times New Roman" w:hAnsi="Times New Roman" w:cs="Times New Roman"/>
                <w:kern w:val="0"/>
                <w:sz w:val="21"/>
                <w:szCs w:val="21"/>
              </w:rPr>
              <w:t>　</w:t>
            </w:r>
          </w:p>
        </w:tc>
        <w:tc>
          <w:tcPr>
            <w:tcW w:w="35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　</w:t>
            </w:r>
            <w:r>
              <w:rPr>
                <w:rFonts w:hint="default" w:ascii="Times New Roman" w:hAnsi="Times New Roman" w:cs="Times New Roman"/>
                <w:kern w:val="0"/>
                <w:sz w:val="21"/>
                <w:szCs w:val="21"/>
                <w:lang w:eastAsia="zh-CN"/>
              </w:rPr>
              <w:t>其他职业教育支出</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c>
          <w:tcPr>
            <w:tcW w:w="300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18.75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20599</w:t>
            </w:r>
          </w:p>
        </w:tc>
        <w:tc>
          <w:tcPr>
            <w:tcW w:w="35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其他教育支出</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300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2059999</w:t>
            </w:r>
          </w:p>
        </w:tc>
        <w:tc>
          <w:tcPr>
            <w:tcW w:w="35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rPr>
              <w:t xml:space="preserve">  其他教育支出</w:t>
            </w:r>
          </w:p>
        </w:tc>
        <w:tc>
          <w:tcPr>
            <w:tcW w:w="3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3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宋体" w:hAnsi="宋体" w:cs="宋体"/>
                <w:kern w:val="0"/>
                <w:sz w:val="24"/>
                <w:lang w:val="en" w:eastAsia="zh-CN"/>
              </w:rPr>
              <w:t>420.71</w:t>
            </w:r>
          </w:p>
        </w:tc>
        <w:tc>
          <w:tcPr>
            <w:tcW w:w="300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noWrap w:val="0"/>
            <w:vAlign w:val="center"/>
          </w:tcPr>
          <w:p>
            <w:pPr>
              <w:widowControl/>
              <w:jc w:val="left"/>
              <w:rPr>
                <w:rFonts w:ascii="宋体" w:hAnsi="宋体" w:cs="Times New Roman"/>
                <w:kern w:val="0"/>
                <w:sz w:val="24"/>
              </w:rPr>
            </w:pPr>
            <w:r>
              <w:rPr>
                <w:rFonts w:ascii="宋体" w:hAnsi="宋体" w:cs="宋体"/>
                <w:kern w:val="0"/>
                <w:sz w:val="24"/>
              </w:rPr>
              <w:t>注：本表反映部门本年度一般公共预算财政拨款支出情况。</w:t>
            </w:r>
          </w:p>
        </w:tc>
      </w:tr>
    </w:tbl>
    <w:p>
      <w:pPr>
        <w:tabs>
          <w:tab w:val="left" w:pos="7560"/>
        </w:tabs>
        <w:adjustRightInd w:val="0"/>
        <w:snapToGrid w:val="0"/>
        <w:spacing w:line="560" w:lineRule="exact"/>
        <w:jc w:val="left"/>
        <w:rPr>
          <w:rFonts w:hint="eastAsia" w:ascii="仿宋_GB2312" w:eastAsia="仿宋_GB2312"/>
          <w:sz w:val="28"/>
          <w:szCs w:val="28"/>
        </w:rPr>
      </w:pPr>
    </w:p>
    <w:p>
      <w:pPr>
        <w:tabs>
          <w:tab w:val="left" w:pos="7560"/>
        </w:tabs>
        <w:adjustRightInd w:val="0"/>
        <w:snapToGrid w:val="0"/>
        <w:spacing w:line="560" w:lineRule="exact"/>
        <w:jc w:val="left"/>
        <w:rPr>
          <w:rFonts w:hint="eastAsia" w:ascii="仿宋_GB2312" w:eastAsia="仿宋_GB2312"/>
          <w:sz w:val="28"/>
          <w:szCs w:val="28"/>
        </w:rPr>
      </w:pPr>
    </w:p>
    <w:tbl>
      <w:tblPr>
        <w:tblStyle w:val="11"/>
        <w:tblW w:w="14601" w:type="dxa"/>
        <w:tblInd w:w="-601" w:type="dxa"/>
        <w:tblLayout w:type="fixed"/>
        <w:tblCellMar>
          <w:top w:w="0" w:type="dxa"/>
          <w:left w:w="108" w:type="dxa"/>
          <w:bottom w:w="0" w:type="dxa"/>
          <w:right w:w="108" w:type="dxa"/>
        </w:tblCellMar>
      </w:tblPr>
      <w:tblGrid>
        <w:gridCol w:w="1135"/>
        <w:gridCol w:w="3402"/>
        <w:gridCol w:w="850"/>
        <w:gridCol w:w="1085"/>
        <w:gridCol w:w="2316"/>
        <w:gridCol w:w="993"/>
        <w:gridCol w:w="1134"/>
        <w:gridCol w:w="2835"/>
        <w:gridCol w:w="851"/>
      </w:tblGrid>
      <w:tr>
        <w:tblPrEx>
          <w:tblCellMar>
            <w:top w:w="0" w:type="dxa"/>
            <w:left w:w="108" w:type="dxa"/>
            <w:bottom w:w="0" w:type="dxa"/>
            <w:right w:w="108" w:type="dxa"/>
          </w:tblCellMar>
        </w:tblPrEx>
        <w:trPr>
          <w:trHeight w:val="113" w:hRule="atLeast"/>
        </w:trPr>
        <w:tc>
          <w:tcPr>
            <w:tcW w:w="14601" w:type="dxa"/>
            <w:gridSpan w:val="9"/>
            <w:tcBorders>
              <w:top w:val="nil"/>
              <w:left w:val="nil"/>
              <w:bottom w:val="nil"/>
              <w:right w:val="nil"/>
            </w:tcBorders>
            <w:noWrap/>
            <w:vAlign w:val="center"/>
          </w:tcPr>
          <w:p>
            <w:pPr>
              <w:widowControl/>
              <w:spacing w:line="220" w:lineRule="exact"/>
              <w:jc w:val="center"/>
              <w:rPr>
                <w:rFonts w:ascii="华文中宋" w:hAnsi="华文中宋" w:eastAsia="华文中宋" w:cs="宋体"/>
                <w:color w:val="000000"/>
                <w:kern w:val="0"/>
                <w:szCs w:val="32"/>
              </w:rPr>
            </w:pPr>
            <w:bookmarkStart w:id="0" w:name="RANGE!A1:I34"/>
            <w:r>
              <w:rPr>
                <w:rFonts w:hint="eastAsia" w:ascii="华文中宋" w:hAnsi="华文中宋" w:eastAsia="华文中宋" w:cs="宋体"/>
                <w:color w:val="000000"/>
                <w:kern w:val="0"/>
                <w:szCs w:val="32"/>
              </w:rPr>
              <w:t>一般公共预算财政拨款基本支出决算表</w:t>
            </w:r>
            <w:bookmarkEnd w:id="0"/>
          </w:p>
          <w:p>
            <w:pPr>
              <w:widowControl/>
              <w:spacing w:line="22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widowControl/>
              <w:spacing w:line="220" w:lineRule="exact"/>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327"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 w:val="20"/>
                <w:szCs w:val="20"/>
              </w:rPr>
              <w:t>经济分类科目编码</w:t>
            </w:r>
          </w:p>
        </w:tc>
        <w:tc>
          <w:tcPr>
            <w:tcW w:w="3402"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科目名称</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决算数</w:t>
            </w:r>
          </w:p>
        </w:tc>
        <w:tc>
          <w:tcPr>
            <w:tcW w:w="108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科目名称</w:t>
            </w:r>
          </w:p>
        </w:tc>
        <w:tc>
          <w:tcPr>
            <w:tcW w:w="99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决算数</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经济分类科目编码</w:t>
            </w:r>
          </w:p>
        </w:tc>
        <w:tc>
          <w:tcPr>
            <w:tcW w:w="2835"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科目名称</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决算数</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工资福利支出</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rPr>
            </w:pPr>
            <w:r>
              <w:rPr>
                <w:rFonts w:hint="default" w:ascii="宋体" w:hAnsi="宋体" w:cs="宋体"/>
                <w:color w:val="000000"/>
                <w:kern w:val="0"/>
                <w:szCs w:val="20"/>
                <w:lang w:val="en" w:eastAsia="zh-CN"/>
              </w:rPr>
              <w:t>268.43</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商品和服务支出</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rPr>
            </w:pPr>
            <w:r>
              <w:rPr>
                <w:rFonts w:hint="default" w:ascii="宋体" w:hAnsi="宋体" w:cs="宋体"/>
                <w:color w:val="000000"/>
                <w:kern w:val="0"/>
                <w:szCs w:val="20"/>
                <w:lang w:val="en" w:eastAsia="zh-CN"/>
              </w:rPr>
              <w:t>136.6</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307</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债务利息及费用支出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30101</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基本工资</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76.2</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30201</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办公费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9.31</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30701</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国内债务付息</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30102</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津贴补贴</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30202</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印刷费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0.28</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30702</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国外债务付息</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30103</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奖金</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63.99</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30203</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咨询费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资本性支出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hint="default" w:ascii="宋体" w:hAnsi="宋体" w:eastAsia="宋体" w:cs="宋体"/>
                <w:color w:val="000000"/>
                <w:kern w:val="0"/>
                <w:szCs w:val="20"/>
                <w:lang w:val="en" w:eastAsia="zh-CN"/>
              </w:rPr>
            </w:pPr>
            <w:r>
              <w:rPr>
                <w:rFonts w:hint="eastAsia" w:ascii="宋体" w:hAnsi="宋体" w:cs="宋体"/>
                <w:color w:val="000000"/>
                <w:kern w:val="0"/>
                <w:szCs w:val="20"/>
              </w:rPr>
              <w:t>　</w:t>
            </w:r>
            <w:r>
              <w:rPr>
                <w:rFonts w:hint="default" w:ascii="宋体" w:hAnsi="宋体" w:cs="宋体"/>
                <w:color w:val="000000"/>
                <w:kern w:val="0"/>
                <w:szCs w:val="20"/>
                <w:lang w:val="en" w:eastAsia="zh-CN"/>
              </w:rPr>
              <w:t>6.42</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30106</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伙食补助费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30204</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手续费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31001</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房屋建筑物购建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30107</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绩效工资</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44.18</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30205</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水费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eastAsia" w:ascii="宋体" w:hAnsi="宋体" w:cs="宋体"/>
                <w:color w:val="000000"/>
                <w:kern w:val="0"/>
                <w:szCs w:val="20"/>
                <w:lang w:val="en-US" w:eastAsia="zh-CN"/>
              </w:rPr>
              <w:t>0.0</w:t>
            </w:r>
            <w:r>
              <w:rPr>
                <w:rFonts w:hint="default" w:ascii="宋体" w:hAnsi="宋体" w:cs="宋体"/>
                <w:color w:val="000000"/>
                <w:kern w:val="0"/>
                <w:szCs w:val="20"/>
                <w:lang w:val="en" w:eastAsia="zh-CN"/>
              </w:rPr>
              <w:t>8</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31002</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办公设备购置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hint="default" w:ascii="宋体" w:hAnsi="宋体" w:cs="宋体"/>
                <w:color w:val="000000"/>
                <w:kern w:val="0"/>
                <w:szCs w:val="20"/>
                <w:lang w:val="en"/>
              </w:rPr>
            </w:pPr>
            <w:r>
              <w:rPr>
                <w:rFonts w:hint="eastAsia" w:ascii="宋体" w:hAnsi="宋体" w:cs="宋体"/>
                <w:color w:val="000000"/>
                <w:kern w:val="0"/>
                <w:szCs w:val="20"/>
              </w:rPr>
              <w:t>　</w:t>
            </w:r>
            <w:r>
              <w:rPr>
                <w:rFonts w:hint="default" w:cs="Times New Roman"/>
                <w:color w:val="000000"/>
                <w:kern w:val="0"/>
                <w:szCs w:val="20"/>
                <w:lang w:val="en" w:eastAsia="zh-CN"/>
              </w:rPr>
              <w:t>6.42</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30108</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机关事业单位基本养老保险缴费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25.97</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30206</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电费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US" w:eastAsia="zh-CN"/>
              </w:rPr>
              <w:t>4.</w:t>
            </w:r>
            <w:r>
              <w:rPr>
                <w:rFonts w:hint="default" w:ascii="宋体" w:hAnsi="宋体" w:cs="宋体"/>
                <w:color w:val="000000"/>
                <w:kern w:val="0"/>
                <w:szCs w:val="20"/>
                <w:lang w:val="en" w:eastAsia="zh-CN"/>
              </w:rPr>
              <w:t>84</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31003</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专用设备购置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30109</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职业年金缴费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rPr>
            </w:pPr>
            <w:r>
              <w:rPr>
                <w:rFonts w:hint="default" w:ascii="宋体" w:hAnsi="宋体" w:cs="宋体"/>
                <w:color w:val="000000"/>
                <w:kern w:val="0"/>
                <w:szCs w:val="20"/>
                <w:lang w:val="en"/>
              </w:rPr>
              <w:t>12.98</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30207</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邮电费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1.68</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31005</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基础设施建设</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30110</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职工基本医疗保险缴费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10.72</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30208</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取暖费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31006</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大型修缮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30111</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公务员医疗补助缴费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30209</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物业管理费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17.62</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31007</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信息网络及软件购置更新</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30112</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其他社会保障缴费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12.57</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30211</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差旅费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0.72</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31008</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物资储备</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30113</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住房公积金</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21.54</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30212</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因公出国（境）费用</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31009</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土地补偿</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30114</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医疗费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0.28</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30213</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维修（护）费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0.29</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31010</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安置补助</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30199</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其他工资福利支出</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30214</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租赁费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31011</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地上附着物和青苗补偿</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对个人和家庭的补助</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9.25</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30215</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会议费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0.15</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31012</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拆迁补偿</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30301</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离休费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30216</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培训费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eastAsia" w:ascii="宋体" w:hAnsi="宋体" w:cs="宋体"/>
                <w:color w:val="000000"/>
                <w:kern w:val="0"/>
                <w:szCs w:val="20"/>
                <w:lang w:val="en-US" w:eastAsia="zh-CN"/>
              </w:rPr>
              <w:t>0.</w:t>
            </w:r>
            <w:r>
              <w:rPr>
                <w:rFonts w:hint="default" w:ascii="宋体" w:hAnsi="宋体" w:cs="宋体"/>
                <w:color w:val="000000"/>
                <w:kern w:val="0"/>
                <w:szCs w:val="20"/>
                <w:lang w:val="en" w:eastAsia="zh-CN"/>
              </w:rPr>
              <w:t>43</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31013</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公务用车购置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30302</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退休费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6</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30217</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公务接待费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US" w:eastAsia="zh-CN"/>
              </w:rPr>
              <w:t>0.</w:t>
            </w:r>
            <w:r>
              <w:rPr>
                <w:rFonts w:hint="default" w:ascii="宋体" w:hAnsi="宋体" w:cs="宋体"/>
                <w:color w:val="000000"/>
                <w:kern w:val="0"/>
                <w:szCs w:val="20"/>
                <w:lang w:val="en" w:eastAsia="zh-CN"/>
              </w:rPr>
              <w:t>29</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31019</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其他交通工具购置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30303</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退职（役）费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30218</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专用材料费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31021</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文物和陈列品购置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30304</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抚恤金</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30224</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被装购置费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31022</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无形资产购置</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30305</w:t>
            </w:r>
          </w:p>
        </w:tc>
        <w:tc>
          <w:tcPr>
            <w:tcW w:w="3402"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生活补助</w:t>
            </w:r>
          </w:p>
        </w:tc>
        <w:tc>
          <w:tcPr>
            <w:tcW w:w="850" w:type="dxa"/>
            <w:tcBorders>
              <w:top w:val="single" w:color="auto" w:sz="4" w:space="0"/>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US" w:eastAsia="zh-CN"/>
              </w:rPr>
            </w:pPr>
          </w:p>
        </w:tc>
        <w:tc>
          <w:tcPr>
            <w:tcW w:w="1085"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30225</w:t>
            </w:r>
          </w:p>
        </w:tc>
        <w:tc>
          <w:tcPr>
            <w:tcW w:w="2316"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专用燃料费</w:t>
            </w:r>
          </w:p>
        </w:tc>
        <w:tc>
          <w:tcPr>
            <w:tcW w:w="993" w:type="dxa"/>
            <w:tcBorders>
              <w:top w:val="single" w:color="auto" w:sz="4" w:space="0"/>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31099</w:t>
            </w:r>
          </w:p>
        </w:tc>
        <w:tc>
          <w:tcPr>
            <w:tcW w:w="2835"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其他资本性支出</w:t>
            </w:r>
          </w:p>
        </w:tc>
        <w:tc>
          <w:tcPr>
            <w:tcW w:w="851" w:type="dxa"/>
            <w:tcBorders>
              <w:top w:val="single" w:color="auto" w:sz="4" w:space="0"/>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30306</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救济费</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30226</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劳务费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19.67</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399</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其他支出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30307</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医疗费补助</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0.05</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30227</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委托业务费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8.03</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39906</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赠与</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30308</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助学金</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30228</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工会经费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6.93</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39907</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国家赔偿费用支出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30309</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奖励金</w:t>
            </w:r>
          </w:p>
        </w:tc>
        <w:tc>
          <w:tcPr>
            <w:tcW w:w="850" w:type="dxa"/>
            <w:tcBorders>
              <w:top w:val="nil"/>
              <w:left w:val="nil"/>
              <w:bottom w:val="single" w:color="auto" w:sz="4" w:space="0"/>
              <w:right w:val="single" w:color="auto" w:sz="4" w:space="0"/>
            </w:tcBorders>
            <w:noWrap/>
            <w:vAlign w:val="center"/>
          </w:tcPr>
          <w:p>
            <w:pPr>
              <w:widowControl/>
              <w:spacing w:line="220" w:lineRule="exact"/>
              <w:jc w:val="left"/>
              <w:rPr>
                <w:rFonts w:hint="default" w:ascii="宋体" w:hAnsi="宋体" w:cs="宋体"/>
                <w:color w:val="000000"/>
                <w:kern w:val="0"/>
                <w:szCs w:val="20"/>
                <w:lang w:val="en"/>
              </w:rPr>
            </w:pPr>
            <w:r>
              <w:rPr>
                <w:rFonts w:hint="eastAsia" w:ascii="宋体" w:hAnsi="宋体" w:cs="宋体"/>
                <w:color w:val="000000"/>
                <w:kern w:val="0"/>
                <w:szCs w:val="20"/>
              </w:rPr>
              <w:t>　</w:t>
            </w:r>
            <w:r>
              <w:rPr>
                <w:rFonts w:hint="default" w:ascii="宋体" w:hAnsi="宋体" w:cs="宋体"/>
                <w:color w:val="000000"/>
                <w:kern w:val="0"/>
                <w:szCs w:val="20"/>
                <w:lang w:val="en"/>
              </w:rPr>
              <w:t>3.2</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30229</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福利费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 w:eastAsia="zh-CN"/>
              </w:rPr>
              <w:t>17.02</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39908</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对民间非营利组织和群众性自治组织补贴</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30310</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个人农业生产补贴</w:t>
            </w:r>
          </w:p>
        </w:tc>
        <w:tc>
          <w:tcPr>
            <w:tcW w:w="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30231</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公务用车运行维护费</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r>
              <w:rPr>
                <w:rFonts w:hint="eastAsia" w:ascii="宋体" w:hAnsi="宋体" w:cs="宋体"/>
                <w:color w:val="000000"/>
                <w:kern w:val="0"/>
                <w:szCs w:val="20"/>
                <w:lang w:val="en-US" w:eastAsia="zh-CN"/>
              </w:rPr>
              <w:t>2.4</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39999</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其他支出</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30311</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代缴社会保险费</w:t>
            </w:r>
          </w:p>
        </w:tc>
        <w:tc>
          <w:tcPr>
            <w:tcW w:w="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30239</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其他交通费用</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 w:eastAsia="zh-CN"/>
              </w:rPr>
            </w:pPr>
            <w:r>
              <w:rPr>
                <w:rFonts w:hint="default" w:ascii="宋体" w:hAnsi="宋体" w:cs="宋体"/>
                <w:color w:val="000000"/>
                <w:kern w:val="0"/>
                <w:szCs w:val="20"/>
                <w:lang w:val="en-US" w:eastAsia="zh-CN"/>
              </w:rPr>
              <w:t>13</w:t>
            </w:r>
            <w:r>
              <w:rPr>
                <w:rFonts w:hint="eastAsia" w:ascii="宋体" w:hAnsi="宋体" w:cs="宋体"/>
                <w:color w:val="000000"/>
                <w:kern w:val="0"/>
                <w:szCs w:val="20"/>
                <w:lang w:val="en-US" w:eastAsia="zh-CN"/>
              </w:rPr>
              <w:t>.</w:t>
            </w:r>
            <w:r>
              <w:rPr>
                <w:rFonts w:hint="default" w:ascii="宋体" w:hAnsi="宋体" w:cs="宋体"/>
                <w:color w:val="000000"/>
                <w:kern w:val="0"/>
                <w:szCs w:val="20"/>
                <w:lang w:val="en" w:eastAsia="zh-CN"/>
              </w:rPr>
              <w:t>42</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30399</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其他对个人和家庭的补助</w:t>
            </w:r>
          </w:p>
        </w:tc>
        <w:tc>
          <w:tcPr>
            <w:tcW w:w="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30240</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税金及附加费用</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cs="宋体"/>
                <w:color w:val="000000"/>
                <w:kern w:val="0"/>
                <w:szCs w:val="20"/>
                <w:lang w:val="en-US" w:eastAsia="zh-CN"/>
              </w:rPr>
            </w:pP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1135" w:type="dxa"/>
            <w:tcBorders>
              <w:top w:val="nil"/>
              <w:left w:val="single" w:color="auto" w:sz="4" w:space="0"/>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3402"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c>
          <w:tcPr>
            <w:tcW w:w="108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30299</w:t>
            </w:r>
          </w:p>
        </w:tc>
        <w:tc>
          <w:tcPr>
            <w:tcW w:w="2316"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xml:space="preserve">  其他商品和服务支出</w:t>
            </w:r>
          </w:p>
        </w:tc>
        <w:tc>
          <w:tcPr>
            <w:tcW w:w="993"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cs="宋体"/>
                <w:color w:val="000000"/>
                <w:kern w:val="0"/>
                <w:szCs w:val="20"/>
                <w:lang w:val="en-US" w:eastAsia="zh-CN"/>
              </w:rPr>
            </w:pPr>
            <w:r>
              <w:rPr>
                <w:rFonts w:hint="eastAsia" w:ascii="宋体" w:hAnsi="宋体" w:cs="宋体"/>
                <w:color w:val="000000"/>
                <w:kern w:val="0"/>
                <w:szCs w:val="20"/>
                <w:lang w:val="en-US" w:eastAsia="zh-CN"/>
              </w:rPr>
              <w:t>3</w:t>
            </w:r>
            <w:r>
              <w:rPr>
                <w:rFonts w:hint="default" w:ascii="宋体" w:hAnsi="宋体" w:cs="宋体"/>
                <w:color w:val="000000"/>
                <w:kern w:val="0"/>
                <w:szCs w:val="20"/>
                <w:lang w:val="en" w:eastAsia="zh-CN"/>
              </w:rPr>
              <w:t>3</w:t>
            </w:r>
            <w:r>
              <w:rPr>
                <w:rFonts w:hint="eastAsia" w:ascii="宋体" w:hAnsi="宋体" w:cs="宋体"/>
                <w:color w:val="000000"/>
                <w:kern w:val="0"/>
                <w:szCs w:val="20"/>
                <w:lang w:val="en-US" w:eastAsia="zh-CN"/>
              </w:rPr>
              <w:t>.42</w:t>
            </w:r>
          </w:p>
        </w:tc>
        <w:tc>
          <w:tcPr>
            <w:tcW w:w="1134"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2835"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18"/>
              </w:rPr>
            </w:pPr>
            <w:r>
              <w:rPr>
                <w:rFonts w:hint="eastAsia" w:ascii="宋体" w:hAnsi="宋体" w:cs="宋体"/>
                <w:color w:val="000000"/>
                <w:kern w:val="0"/>
                <w:szCs w:val="18"/>
              </w:rPr>
              <w:t>　</w:t>
            </w:r>
          </w:p>
        </w:tc>
        <w:tc>
          <w:tcPr>
            <w:tcW w:w="851"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312" w:hRule="atLeast"/>
        </w:trPr>
        <w:tc>
          <w:tcPr>
            <w:tcW w:w="45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人员经费合计</w:t>
            </w:r>
          </w:p>
        </w:tc>
        <w:tc>
          <w:tcPr>
            <w:tcW w:w="850"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20"/>
                <w:lang w:val="en" w:eastAsia="zh-CN"/>
              </w:rPr>
            </w:pPr>
            <w:r>
              <w:rPr>
                <w:rFonts w:hint="default" w:ascii="宋体" w:hAnsi="宋体" w:cs="宋体"/>
                <w:color w:val="000000"/>
                <w:kern w:val="0"/>
                <w:szCs w:val="20"/>
                <w:lang w:val="en" w:eastAsia="zh-CN"/>
              </w:rPr>
              <w:t>277.68</w:t>
            </w:r>
          </w:p>
        </w:tc>
        <w:tc>
          <w:tcPr>
            <w:tcW w:w="8363" w:type="dxa"/>
            <w:gridSpan w:val="5"/>
            <w:tcBorders>
              <w:top w:val="single" w:color="auto" w:sz="4" w:space="0"/>
              <w:left w:val="nil"/>
              <w:bottom w:val="single" w:color="auto" w:sz="4" w:space="0"/>
              <w:right w:val="single" w:color="auto" w:sz="4" w:space="0"/>
            </w:tcBorders>
            <w:noWrap/>
            <w:vAlign w:val="center"/>
          </w:tcPr>
          <w:p>
            <w:pPr>
              <w:widowControl/>
              <w:spacing w:line="220" w:lineRule="exact"/>
              <w:jc w:val="center"/>
              <w:rPr>
                <w:rFonts w:ascii="宋体" w:hAnsi="宋体" w:cs="宋体"/>
                <w:color w:val="000000"/>
                <w:kern w:val="0"/>
                <w:szCs w:val="20"/>
              </w:rPr>
            </w:pPr>
            <w:r>
              <w:rPr>
                <w:rFonts w:hint="eastAsia" w:ascii="宋体" w:hAnsi="宋体" w:cs="宋体"/>
                <w:color w:val="000000"/>
                <w:kern w:val="0"/>
                <w:szCs w:val="20"/>
              </w:rPr>
              <w:t>公用经费合计</w:t>
            </w:r>
          </w:p>
        </w:tc>
        <w:tc>
          <w:tcPr>
            <w:tcW w:w="851"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Cs w:val="18"/>
                <w:lang w:val="en" w:eastAsia="zh-CN"/>
              </w:rPr>
            </w:pPr>
            <w:r>
              <w:rPr>
                <w:rFonts w:hint="eastAsia" w:ascii="宋体" w:hAnsi="宋体" w:cs="宋体"/>
                <w:color w:val="000000"/>
                <w:kern w:val="0"/>
                <w:szCs w:val="18"/>
                <w:lang w:val="en-US" w:eastAsia="zh-CN"/>
              </w:rPr>
              <w:t>1</w:t>
            </w:r>
            <w:r>
              <w:rPr>
                <w:rFonts w:hint="default" w:ascii="宋体" w:hAnsi="宋体" w:cs="宋体"/>
                <w:color w:val="000000"/>
                <w:kern w:val="0"/>
                <w:szCs w:val="18"/>
                <w:lang w:val="en" w:eastAsia="zh-CN"/>
              </w:rPr>
              <w:t>43.02</w:t>
            </w:r>
          </w:p>
        </w:tc>
      </w:tr>
      <w:tr>
        <w:tblPrEx>
          <w:tblCellMar>
            <w:top w:w="0" w:type="dxa"/>
            <w:left w:w="108" w:type="dxa"/>
            <w:bottom w:w="0" w:type="dxa"/>
            <w:right w:w="108" w:type="dxa"/>
          </w:tblCellMar>
        </w:tblPrEx>
        <w:trPr>
          <w:trHeight w:val="113" w:hRule="atLeast"/>
        </w:trPr>
        <w:tc>
          <w:tcPr>
            <w:tcW w:w="14601" w:type="dxa"/>
            <w:gridSpan w:val="9"/>
            <w:tcBorders>
              <w:top w:val="nil"/>
              <w:left w:val="nil"/>
              <w:bottom w:val="nil"/>
              <w:right w:val="nil"/>
            </w:tcBorders>
            <w:noWrap/>
            <w:vAlign w:val="center"/>
          </w:tcPr>
          <w:p>
            <w:pPr>
              <w:widowControl/>
              <w:spacing w:line="220" w:lineRule="exact"/>
              <w:jc w:val="left"/>
              <w:rPr>
                <w:rFonts w:ascii="宋体" w:hAnsi="宋体" w:cs="宋体"/>
                <w:color w:val="000000"/>
                <w:kern w:val="0"/>
              </w:rPr>
            </w:pPr>
            <w:r>
              <w:rPr>
                <w:rFonts w:hint="eastAsia" w:ascii="宋体" w:hAnsi="宋体" w:cs="宋体"/>
                <w:color w:val="000000"/>
                <w:kern w:val="0"/>
              </w:rPr>
              <w:t>注：本表反映部门本年度一般公共预算财政拨款基本支出明细情况。</w:t>
            </w:r>
          </w:p>
          <w:p>
            <w:pPr>
              <w:widowControl/>
              <w:spacing w:line="220" w:lineRule="exact"/>
              <w:jc w:val="left"/>
              <w:rPr>
                <w:rFonts w:hint="eastAsia" w:ascii="宋体" w:hAnsi="宋体" w:cs="宋体"/>
                <w:color w:val="000000"/>
                <w:kern w:val="0"/>
              </w:rPr>
            </w:pPr>
          </w:p>
        </w:tc>
      </w:tr>
    </w:tbl>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一般公共预算财政拨款“三公”经费支出决算表</w:t>
      </w:r>
    </w:p>
    <w:p>
      <w:pPr>
        <w:widowControl/>
        <w:jc w:val="right"/>
        <w:rPr>
          <w:rFonts w:eastAsia="仿宋_GB2312"/>
          <w:color w:val="000000"/>
          <w:kern w:val="0"/>
          <w:szCs w:val="21"/>
        </w:rPr>
      </w:pPr>
      <w:r>
        <w:rPr>
          <w:rFonts w:eastAsia="仿宋_GB2312"/>
          <w:color w:val="000000"/>
          <w:kern w:val="0"/>
          <w:szCs w:val="21"/>
        </w:rPr>
        <w:t>部门：公开0</w:t>
      </w:r>
      <w:r>
        <w:rPr>
          <w:rFonts w:hint="eastAsia" w:eastAsia="仿宋_GB2312"/>
          <w:color w:val="000000"/>
          <w:kern w:val="0"/>
          <w:szCs w:val="21"/>
        </w:rPr>
        <w:t>7</w:t>
      </w:r>
      <w:r>
        <w:rPr>
          <w:rFonts w:eastAsia="仿宋_GB2312"/>
          <w:color w:val="000000"/>
          <w:kern w:val="0"/>
          <w:szCs w:val="21"/>
        </w:rPr>
        <w:t>表</w:t>
      </w:r>
    </w:p>
    <w:p>
      <w:pPr>
        <w:widowControl/>
        <w:ind w:right="420"/>
        <w:jc w:val="right"/>
        <w:rPr>
          <w:rFonts w:eastAsia="仿宋_GB2312"/>
          <w:color w:val="000000"/>
          <w:kern w:val="0"/>
          <w:szCs w:val="21"/>
        </w:rPr>
      </w:pPr>
      <w:r>
        <w:rPr>
          <w:rFonts w:eastAsia="仿宋_GB2312"/>
          <w:color w:val="000000"/>
          <w:kern w:val="0"/>
          <w:szCs w:val="21"/>
        </w:rPr>
        <w:t>单位：万元</w:t>
      </w:r>
    </w:p>
    <w:tbl>
      <w:tblPr>
        <w:tblStyle w:val="11"/>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w:t>
            </w:r>
          </w:p>
          <w:p>
            <w:pPr>
              <w:widowControl/>
              <w:jc w:val="center"/>
              <w:rPr>
                <w:rFonts w:ascii="宋体" w:hAnsi="宋体" w:cs="Times New Roman"/>
                <w:kern w:val="0"/>
                <w:sz w:val="24"/>
              </w:rPr>
            </w:pPr>
            <w:r>
              <w:rPr>
                <w:rFonts w:ascii="宋体" w:hAnsi="宋体" w:cs="Times New Roman"/>
                <w:kern w:val="0"/>
                <w:sz w:val="24"/>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w:t>
            </w:r>
          </w:p>
          <w:p>
            <w:pPr>
              <w:widowControl/>
              <w:jc w:val="center"/>
              <w:rPr>
                <w:rFonts w:ascii="宋体" w:hAnsi="宋体" w:cs="Times New Roman"/>
                <w:kern w:val="0"/>
                <w:sz w:val="24"/>
              </w:rPr>
            </w:pPr>
            <w:r>
              <w:rPr>
                <w:rFonts w:ascii="宋体" w:hAnsi="宋体" w:cs="Times New Roman"/>
                <w:kern w:val="0"/>
                <w:sz w:val="24"/>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w:t>
            </w:r>
            <w:r>
              <w:rPr>
                <w:rFonts w:ascii="宋体" w:hAnsi="宋体" w:cs="Times New Roman"/>
                <w:kern w:val="0"/>
                <w:sz w:val="24"/>
              </w:rPr>
              <w:br w:type="textWrapping"/>
            </w:r>
            <w:r>
              <w:rPr>
                <w:rFonts w:ascii="宋体" w:hAnsi="宋体" w:cs="Times New Roman"/>
                <w:kern w:val="0"/>
                <w:sz w:val="24"/>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w:t>
            </w:r>
            <w:r>
              <w:rPr>
                <w:rFonts w:ascii="宋体" w:hAnsi="宋体" w:cs="Times New Roman"/>
                <w:kern w:val="0"/>
                <w:sz w:val="24"/>
              </w:rPr>
              <w:br w:type="textWrapping"/>
            </w:r>
            <w:r>
              <w:rPr>
                <w:rFonts w:ascii="宋体" w:hAnsi="宋体" w:cs="Times New Roman"/>
                <w:kern w:val="0"/>
                <w:sz w:val="24"/>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Times New Roman"/>
                <w:kern w:val="0"/>
                <w:sz w:val="24"/>
              </w:rPr>
            </w:pPr>
          </w:p>
        </w:tc>
        <w:tc>
          <w:tcPr>
            <w:tcW w:w="1220" w:type="dxa"/>
            <w:vMerge w:val="continue"/>
            <w:tcBorders>
              <w:top w:val="nil"/>
              <w:left w:val="nil"/>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Times New Roman"/>
                <w:kern w:val="0"/>
                <w:sz w:val="24"/>
              </w:rPr>
            </w:pP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w:t>
            </w:r>
            <w:r>
              <w:rPr>
                <w:rFonts w:ascii="宋体" w:hAnsi="宋体" w:cs="Times New Roman"/>
                <w:kern w:val="0"/>
                <w:sz w:val="24"/>
              </w:rPr>
              <w:br w:type="textWrapping"/>
            </w:r>
            <w:r>
              <w:rPr>
                <w:rFonts w:ascii="宋体" w:hAnsi="宋体" w:cs="Times New Roman"/>
                <w:kern w:val="0"/>
                <w:sz w:val="24"/>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公务用车</w:t>
            </w:r>
            <w:r>
              <w:rPr>
                <w:rFonts w:ascii="宋体" w:hAnsi="宋体" w:cs="Times New Roman"/>
                <w:kern w:val="0"/>
                <w:sz w:val="24"/>
              </w:rPr>
              <w:br w:type="textWrapping"/>
            </w:r>
            <w:r>
              <w:rPr>
                <w:rFonts w:ascii="宋体" w:hAnsi="宋体" w:cs="Times New Roman"/>
                <w:kern w:val="0"/>
                <w:sz w:val="24"/>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ascii="宋体" w:hAnsi="宋体" w:cs="Times New Roman"/>
                <w:kern w:val="0"/>
                <w:sz w:val="24"/>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1</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2</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3</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4</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5</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6</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7</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8</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9</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10</w:t>
            </w:r>
          </w:p>
        </w:tc>
        <w:tc>
          <w:tcPr>
            <w:tcW w:w="1220" w:type="dxa"/>
            <w:tcBorders>
              <w:top w:val="nil"/>
              <w:left w:val="nil"/>
              <w:bottom w:val="single" w:color="auto" w:sz="4" w:space="0"/>
              <w:right w:val="single" w:color="auto" w:sz="4" w:space="0"/>
            </w:tcBorders>
            <w:noWrap w:val="0"/>
            <w:vAlign w:val="center"/>
          </w:tcPr>
          <w:p>
            <w:pPr>
              <w:widowControl/>
              <w:jc w:val="center"/>
              <w:rPr>
                <w:rFonts w:ascii="宋体" w:hAnsi="宋体" w:cs="Times New Roman"/>
                <w:kern w:val="0"/>
                <w:sz w:val="24"/>
              </w:rPr>
            </w:pPr>
            <w:r>
              <w:rPr>
                <w:rFonts w:ascii="宋体" w:hAnsi="宋体" w:cs="Times New Roman"/>
                <w:kern w:val="0"/>
                <w:sz w:val="24"/>
              </w:rPr>
              <w:t>11</w:t>
            </w:r>
          </w:p>
        </w:tc>
        <w:tc>
          <w:tcPr>
            <w:tcW w:w="1220" w:type="dxa"/>
            <w:tcBorders>
              <w:top w:val="nil"/>
              <w:left w:val="nil"/>
              <w:bottom w:val="single" w:color="auto" w:sz="4" w:space="0"/>
              <w:right w:val="single" w:color="auto" w:sz="8" w:space="0"/>
            </w:tcBorders>
            <w:noWrap w:val="0"/>
            <w:vAlign w:val="center"/>
          </w:tcPr>
          <w:p>
            <w:pPr>
              <w:widowControl/>
              <w:jc w:val="center"/>
              <w:rPr>
                <w:rFonts w:ascii="宋体" w:hAnsi="宋体" w:cs="Times New Roman"/>
                <w:kern w:val="0"/>
                <w:sz w:val="24"/>
              </w:rPr>
            </w:pPr>
            <w:r>
              <w:rPr>
                <w:rFonts w:ascii="宋体" w:hAnsi="宋体" w:cs="Times New Roman"/>
                <w:kern w:val="0"/>
                <w:sz w:val="24"/>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 w:eastAsia="zh-CN"/>
              </w:rPr>
            </w:pPr>
            <w:r>
              <w:rPr>
                <w:rFonts w:hint="default" w:eastAsia="仿宋_GB2312" w:cs="Times New Roman"/>
                <w:kern w:val="0"/>
                <w:szCs w:val="21"/>
                <w:lang w:val="en" w:eastAsia="zh-CN"/>
              </w:rPr>
              <w:t>6</w:t>
            </w:r>
          </w:p>
        </w:tc>
        <w:tc>
          <w:tcPr>
            <w:tcW w:w="1220" w:type="dxa"/>
            <w:tcBorders>
              <w:top w:val="nil"/>
              <w:left w:val="nil"/>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w:t>
            </w:r>
          </w:p>
        </w:tc>
        <w:tc>
          <w:tcPr>
            <w:tcW w:w="1220"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 w:eastAsia="zh-CN"/>
              </w:rPr>
            </w:pPr>
            <w:r>
              <w:rPr>
                <w:rFonts w:hint="default" w:eastAsia="仿宋_GB2312" w:cs="Times New Roman"/>
                <w:kern w:val="0"/>
                <w:szCs w:val="21"/>
                <w:lang w:val="en" w:eastAsia="zh-CN"/>
              </w:rPr>
              <w:t>4</w:t>
            </w:r>
          </w:p>
        </w:tc>
        <w:tc>
          <w:tcPr>
            <w:tcW w:w="1220" w:type="dxa"/>
            <w:tcBorders>
              <w:top w:val="nil"/>
              <w:left w:val="nil"/>
              <w:bottom w:val="single" w:color="auto" w:sz="8" w:space="0"/>
              <w:right w:val="single" w:color="auto" w:sz="4" w:space="0"/>
            </w:tcBorders>
            <w:noWrap w:val="0"/>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1220" w:type="dxa"/>
            <w:tcBorders>
              <w:top w:val="nil"/>
              <w:left w:val="nil"/>
              <w:bottom w:val="single" w:color="auto" w:sz="8" w:space="0"/>
              <w:right w:val="single" w:color="auto" w:sz="4" w:space="0"/>
            </w:tcBorders>
            <w:noWrap w:val="0"/>
            <w:vAlign w:val="center"/>
          </w:tcPr>
          <w:p>
            <w:pPr>
              <w:widowControl/>
              <w:jc w:val="center"/>
              <w:rPr>
                <w:rFonts w:hint="default" w:ascii="Times New Roman" w:hAnsi="Times New Roman" w:eastAsia="仿宋_GB2312" w:cs="Times New Roman"/>
                <w:kern w:val="0"/>
                <w:szCs w:val="21"/>
                <w:lang w:val="en" w:eastAsia="zh-CN"/>
              </w:rPr>
            </w:pPr>
            <w:r>
              <w:rPr>
                <w:rFonts w:hint="default" w:eastAsia="仿宋_GB2312" w:cs="Times New Roman"/>
                <w:kern w:val="0"/>
                <w:szCs w:val="21"/>
                <w:lang w:val="en" w:eastAsia="zh-CN"/>
              </w:rPr>
              <w:t>2.69</w:t>
            </w:r>
          </w:p>
        </w:tc>
        <w:tc>
          <w:tcPr>
            <w:tcW w:w="1220"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noWrap w:val="0"/>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1220" w:type="dxa"/>
            <w:tcBorders>
              <w:top w:val="nil"/>
              <w:left w:val="single" w:color="auto" w:sz="4"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kern w:val="0"/>
                <w:szCs w:val="21"/>
                <w:lang w:val="en" w:eastAsia="zh-CN"/>
              </w:rPr>
            </w:pPr>
            <w:r>
              <w:rPr>
                <w:rFonts w:hint="default" w:eastAsia="仿宋_GB2312" w:cs="Times New Roman"/>
                <w:kern w:val="0"/>
                <w:szCs w:val="21"/>
                <w:lang w:val="en" w:eastAsia="zh-CN"/>
              </w:rPr>
              <w:t>0.29</w:t>
            </w:r>
          </w:p>
        </w:tc>
      </w:tr>
    </w:tbl>
    <w:p>
      <w:pPr>
        <w:widowControl/>
        <w:jc w:val="left"/>
        <w:rPr>
          <w:rFonts w:hint="eastAsia" w:ascii="宋体" w:cs="宋体"/>
          <w:kern w:val="0"/>
          <w:sz w:val="24"/>
        </w:rPr>
      </w:pPr>
      <w:r>
        <w:rPr>
          <w:rFonts w:hint="eastAsia" w:ascii="宋体"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cs="宋体"/>
          <w:kern w:val="0"/>
          <w:sz w:val="24"/>
        </w:rPr>
      </w:pPr>
    </w:p>
    <w:p>
      <w:pPr>
        <w:widowControl/>
        <w:jc w:val="center"/>
        <w:rPr>
          <w:rFonts w:eastAsia="方正小标宋_GBK"/>
          <w:kern w:val="0"/>
          <w:sz w:val="36"/>
          <w:szCs w:val="36"/>
        </w:rPr>
      </w:pPr>
      <w:r>
        <w:rPr>
          <w:rFonts w:eastAsia="方正小标宋_GBK"/>
          <w:kern w:val="0"/>
          <w:sz w:val="36"/>
          <w:szCs w:val="36"/>
        </w:rPr>
        <w:br w:type="page"/>
      </w:r>
      <w:r>
        <w:rPr>
          <w:rFonts w:eastAsia="方正小标宋_GBK"/>
          <w:kern w:val="0"/>
          <w:sz w:val="36"/>
          <w:szCs w:val="36"/>
        </w:rPr>
        <w:t>政府性基金预算财政拨款收入支出决算表</w:t>
      </w:r>
    </w:p>
    <w:p>
      <w:pPr>
        <w:widowControl/>
        <w:wordWrap w:val="0"/>
        <w:jc w:val="right"/>
        <w:rPr>
          <w:rFonts w:eastAsia="仿宋_GB2312"/>
          <w:color w:val="000000"/>
          <w:kern w:val="0"/>
          <w:szCs w:val="21"/>
        </w:rPr>
      </w:pPr>
      <w:r>
        <w:rPr>
          <w:rFonts w:hint="eastAsia" w:eastAsia="仿宋_GB2312"/>
          <w:color w:val="000000"/>
          <w:kern w:val="0"/>
          <w:szCs w:val="21"/>
        </w:rPr>
        <w:t xml:space="preserve"> </w:t>
      </w:r>
      <w:r>
        <w:rPr>
          <w:rFonts w:eastAsia="仿宋_GB2312"/>
          <w:color w:val="000000"/>
          <w:kern w:val="0"/>
          <w:szCs w:val="21"/>
        </w:rPr>
        <w:t>部门：公开08表</w:t>
      </w:r>
    </w:p>
    <w:p>
      <w:pPr>
        <w:widowControl/>
        <w:jc w:val="right"/>
        <w:rPr>
          <w:rFonts w:eastAsia="仿宋_GB2312"/>
          <w:color w:val="000000"/>
          <w:kern w:val="0"/>
          <w:szCs w:val="21"/>
        </w:rPr>
      </w:pPr>
      <w:r>
        <w:rPr>
          <w:rFonts w:eastAsia="仿宋_GB2312"/>
          <w:color w:val="000000"/>
          <w:kern w:val="0"/>
          <w:szCs w:val="21"/>
        </w:rPr>
        <w:t>单位：万元</w:t>
      </w:r>
    </w:p>
    <w:tbl>
      <w:tblPr>
        <w:tblStyle w:val="11"/>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宋体" w:hAnsi="宋体" w:cs="Times New Roman"/>
                <w:kern w:val="0"/>
                <w:sz w:val="24"/>
              </w:rPr>
            </w:pPr>
            <w:r>
              <w:rPr>
                <w:rFonts w:ascii="宋体" w:hAnsi="宋体" w:cs="Times New Roman"/>
                <w:kern w:val="0"/>
                <w:sz w:val="24"/>
              </w:rPr>
              <w:t>项 目</w:t>
            </w: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年初结转和结余</w:t>
            </w: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本年收入</w:t>
            </w:r>
          </w:p>
        </w:tc>
        <w:tc>
          <w:tcPr>
            <w:tcW w:w="6000" w:type="dxa"/>
            <w:gridSpan w:val="3"/>
            <w:noWrap w:val="0"/>
            <w:vAlign w:val="center"/>
          </w:tcPr>
          <w:p>
            <w:pPr>
              <w:widowControl/>
              <w:jc w:val="center"/>
              <w:rPr>
                <w:rFonts w:ascii="宋体" w:hAnsi="宋体" w:cs="Times New Roman"/>
                <w:kern w:val="0"/>
                <w:sz w:val="24"/>
              </w:rPr>
            </w:pPr>
            <w:r>
              <w:rPr>
                <w:rFonts w:ascii="宋体" w:hAnsi="宋体" w:cs="Times New Roman"/>
                <w:kern w:val="0"/>
                <w:sz w:val="24"/>
              </w:rPr>
              <w:t>本年支出</w:t>
            </w: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功能分类科目编码</w:t>
            </w:r>
          </w:p>
        </w:tc>
        <w:tc>
          <w:tcPr>
            <w:tcW w:w="132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科目名称</w:t>
            </w: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小计</w:t>
            </w: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 xml:space="preserve">基本支出  </w:t>
            </w:r>
          </w:p>
        </w:tc>
        <w:tc>
          <w:tcPr>
            <w:tcW w:w="2000" w:type="dxa"/>
            <w:vMerge w:val="restart"/>
            <w:noWrap w:val="0"/>
            <w:vAlign w:val="center"/>
          </w:tcPr>
          <w:p>
            <w:pPr>
              <w:widowControl/>
              <w:jc w:val="center"/>
              <w:rPr>
                <w:rFonts w:ascii="宋体" w:hAnsi="宋体" w:cs="Times New Roman"/>
                <w:kern w:val="0"/>
                <w:sz w:val="24"/>
              </w:rPr>
            </w:pPr>
            <w:r>
              <w:rPr>
                <w:rFonts w:ascii="宋体" w:hAnsi="宋体" w:cs="Times New Roman"/>
                <w:kern w:val="0"/>
                <w:sz w:val="24"/>
              </w:rPr>
              <w:t>项目支出</w:t>
            </w:r>
          </w:p>
        </w:tc>
        <w:tc>
          <w:tcPr>
            <w:tcW w:w="2000" w:type="dxa"/>
            <w:vMerge w:val="continue"/>
            <w:noWrap w:val="0"/>
            <w:vAlign w:val="center"/>
          </w:tcPr>
          <w:p>
            <w:pPr>
              <w:widowControl/>
              <w:jc w:val="left"/>
              <w:rPr>
                <w:rFonts w:ascii="宋体" w:hAnsi="宋体"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ascii="宋体" w:hAnsi="宋体" w:cs="Times New Roman"/>
                <w:kern w:val="0"/>
                <w:sz w:val="24"/>
              </w:rPr>
            </w:pPr>
          </w:p>
        </w:tc>
        <w:tc>
          <w:tcPr>
            <w:tcW w:w="132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ascii="宋体" w:hAnsi="宋体" w:cs="Times New Roman"/>
                <w:kern w:val="0"/>
                <w:sz w:val="24"/>
              </w:rPr>
            </w:pPr>
          </w:p>
        </w:tc>
        <w:tc>
          <w:tcPr>
            <w:tcW w:w="132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c>
          <w:tcPr>
            <w:tcW w:w="2000" w:type="dxa"/>
            <w:vMerge w:val="continue"/>
            <w:noWrap w:val="0"/>
            <w:vAlign w:val="center"/>
          </w:tcPr>
          <w:p>
            <w:pPr>
              <w:widowControl/>
              <w:jc w:val="left"/>
              <w:rPr>
                <w:rFonts w:ascii="宋体" w:hAnsi="宋体"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宋体" w:hAnsi="宋体" w:cs="Times New Roman"/>
                <w:kern w:val="0"/>
                <w:sz w:val="24"/>
              </w:rPr>
            </w:pPr>
            <w:r>
              <w:rPr>
                <w:rFonts w:ascii="宋体" w:hAnsi="宋体" w:cs="Times New Roman"/>
                <w:kern w:val="0"/>
                <w:sz w:val="24"/>
              </w:rPr>
              <w:t>栏次</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1</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2</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3</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4</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5</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ascii="宋体" w:hAnsi="宋体" w:cs="Times New Roman"/>
                <w:kern w:val="0"/>
                <w:sz w:val="24"/>
              </w:rPr>
            </w:pPr>
            <w:r>
              <w:rPr>
                <w:rFonts w:ascii="宋体" w:hAnsi="宋体" w:cs="Times New Roman"/>
                <w:kern w:val="0"/>
                <w:sz w:val="24"/>
              </w:rPr>
              <w:t>合计</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ascii="宋体" w:hAnsi="宋体" w:cs="Times New Roman"/>
                <w:kern w:val="0"/>
                <w:sz w:val="24"/>
              </w:rPr>
            </w:pPr>
            <w:r>
              <w:rPr>
                <w:rFonts w:ascii="宋体" w:hAnsi="宋体" w:cs="Times New Roman"/>
                <w:kern w:val="0"/>
                <w:sz w:val="24"/>
              </w:rPr>
              <w:t>　</w:t>
            </w:r>
          </w:p>
        </w:tc>
        <w:tc>
          <w:tcPr>
            <w:tcW w:w="132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c>
          <w:tcPr>
            <w:tcW w:w="2000" w:type="dxa"/>
            <w:noWrap w:val="0"/>
            <w:vAlign w:val="center"/>
          </w:tcPr>
          <w:p>
            <w:pPr>
              <w:widowControl/>
              <w:jc w:val="left"/>
              <w:rPr>
                <w:rFonts w:ascii="宋体" w:hAnsi="宋体" w:cs="Times New Roman"/>
                <w:kern w:val="0"/>
                <w:sz w:val="24"/>
              </w:rPr>
            </w:pPr>
            <w:r>
              <w:rPr>
                <w:rFonts w:ascii="宋体" w:hAnsi="宋体" w:cs="Times New Roman"/>
                <w:kern w:val="0"/>
                <w:sz w:val="24"/>
              </w:rPr>
              <w:t>　</w:t>
            </w:r>
          </w:p>
        </w:tc>
      </w:tr>
    </w:tbl>
    <w:p>
      <w:pPr>
        <w:widowControl/>
        <w:jc w:val="left"/>
        <w:rPr>
          <w:rFonts w:ascii="宋体" w:hAnsi="宋体"/>
          <w:kern w:val="0"/>
          <w:sz w:val="24"/>
        </w:rPr>
      </w:pPr>
      <w:r>
        <w:rPr>
          <w:rFonts w:ascii="宋体" w:hAnsi="宋体"/>
          <w:kern w:val="0"/>
          <w:sz w:val="24"/>
        </w:rPr>
        <w:t>注：本表反映部门本年度政府性基金预算财政拨款收入、支出及结转和结余情况</w:t>
      </w:r>
    </w:p>
    <w:p>
      <w:pPr>
        <w:widowControl/>
        <w:jc w:val="left"/>
        <w:rPr>
          <w:rFonts w:hint="eastAsia" w:ascii="宋体" w:hAnsi="宋体" w:cs="Times New Roman"/>
          <w:kern w:val="0"/>
          <w:sz w:val="24"/>
          <w:lang w:eastAsia="zh-CN"/>
        </w:rPr>
      </w:pPr>
      <w:r>
        <w:rPr>
          <w:rFonts w:hint="eastAsia" w:ascii="宋体" w:hAnsi="宋体" w:cs="Times New Roman"/>
          <w:kern w:val="0"/>
          <w:sz w:val="24"/>
          <w:lang w:eastAsia="zh-CN"/>
        </w:rPr>
        <w:t>本单位</w:t>
      </w:r>
      <w:r>
        <w:rPr>
          <w:rFonts w:hint="eastAsia" w:ascii="宋体" w:hAnsi="宋体" w:cs="Times New Roman"/>
          <w:kern w:val="0"/>
          <w:sz w:val="24"/>
        </w:rPr>
        <w:t>没有政府性基金收入，也没有使用政府性基金安排的支出，故本表无数据。</w:t>
      </w:r>
    </w:p>
    <w:p>
      <w:pPr>
        <w:widowControl/>
        <w:jc w:val="left"/>
        <w:rPr>
          <w:rFonts w:ascii="宋体" w:cs="宋体"/>
          <w:kern w:val="0"/>
          <w:sz w:val="24"/>
        </w:rPr>
      </w:pPr>
      <w:r>
        <w:rPr>
          <w:rFonts w:ascii="宋体" w:cs="宋体"/>
          <w:kern w:val="0"/>
          <w:sz w:val="24"/>
        </w:rPr>
        <w:br w:type="page"/>
      </w:r>
    </w:p>
    <w:tbl>
      <w:tblPr>
        <w:tblStyle w:val="11"/>
        <w:tblW w:w="13340" w:type="dxa"/>
        <w:tblInd w:w="93" w:type="dxa"/>
        <w:tblLayout w:type="autofit"/>
        <w:tblCellMar>
          <w:top w:w="0" w:type="dxa"/>
          <w:left w:w="108" w:type="dxa"/>
          <w:bottom w:w="0" w:type="dxa"/>
          <w:right w:w="108" w:type="dxa"/>
        </w:tblCellMar>
      </w:tblPr>
      <w:tblGrid>
        <w:gridCol w:w="1060"/>
        <w:gridCol w:w="560"/>
        <w:gridCol w:w="96"/>
        <w:gridCol w:w="3119"/>
        <w:gridCol w:w="1225"/>
        <w:gridCol w:w="1326"/>
        <w:gridCol w:w="1294"/>
        <w:gridCol w:w="1683"/>
        <w:gridCol w:w="2977"/>
      </w:tblGrid>
      <w:tr>
        <w:tblPrEx>
          <w:tblCellMar>
            <w:top w:w="0" w:type="dxa"/>
            <w:left w:w="108" w:type="dxa"/>
            <w:bottom w:w="0" w:type="dxa"/>
            <w:right w:w="108" w:type="dxa"/>
          </w:tblCellMar>
        </w:tblPrEx>
        <w:trPr>
          <w:trHeight w:val="720" w:hRule="atLeast"/>
        </w:trPr>
        <w:tc>
          <w:tcPr>
            <w:tcW w:w="13340" w:type="dxa"/>
            <w:gridSpan w:val="9"/>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66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株洲职业教育科技园管理办公室</w:t>
            </w:r>
          </w:p>
          <w:p>
            <w:pPr>
              <w:widowControl/>
              <w:jc w:val="center"/>
              <w:rPr>
                <w:rFonts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66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 目</w:t>
            </w:r>
          </w:p>
        </w:tc>
        <w:tc>
          <w:tcPr>
            <w:tcW w:w="8505" w:type="dxa"/>
            <w:gridSpan w:val="5"/>
            <w:tcBorders>
              <w:top w:val="single" w:color="auto" w:sz="8"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本年支出</w:t>
            </w:r>
          </w:p>
        </w:tc>
      </w:tr>
      <w:tr>
        <w:tblPrEx>
          <w:tblCellMar>
            <w:top w:w="0" w:type="dxa"/>
            <w:left w:w="108" w:type="dxa"/>
            <w:bottom w:w="0" w:type="dxa"/>
            <w:right w:w="108" w:type="dxa"/>
          </w:tblCellMar>
        </w:tblPrEx>
        <w:trPr>
          <w:trHeight w:val="402" w:hRule="atLeast"/>
        </w:trPr>
        <w:tc>
          <w:tcPr>
            <w:tcW w:w="1716" w:type="dxa"/>
            <w:gridSpan w:val="3"/>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311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255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29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29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02" w:hRule="atLeast"/>
        </w:trPr>
        <w:tc>
          <w:tcPr>
            <w:tcW w:w="1716"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1716"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1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13340" w:type="dxa"/>
            <w:gridSpan w:val="9"/>
            <w:tcBorders>
              <w:top w:val="single" w:color="auto" w:sz="8" w:space="0"/>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注：本表反映部门本年度国有资本经营预算财政拨款支出情况。</w:t>
            </w:r>
          </w:p>
          <w:p>
            <w:pPr>
              <w:widowControl/>
              <w:jc w:val="left"/>
              <w:rPr>
                <w:rFonts w:hint="eastAsia" w:ascii="宋体" w:hAnsi="宋体" w:cs="Times New Roman"/>
                <w:kern w:val="0"/>
                <w:sz w:val="24"/>
              </w:rPr>
            </w:pPr>
            <w:r>
              <w:rPr>
                <w:rFonts w:hint="eastAsia" w:ascii="宋体" w:hAnsi="宋体" w:cs="Times New Roman"/>
                <w:kern w:val="0"/>
                <w:sz w:val="24"/>
              </w:rPr>
              <w:t>本单位没有使用国有资本经营预算安排的支出，故本表无数据。</w:t>
            </w:r>
          </w:p>
          <w:p>
            <w:pPr>
              <w:widowControl/>
              <w:jc w:val="left"/>
              <w:rPr>
                <w:rFonts w:ascii="宋体" w:hAnsi="宋体" w:cs="Times New Roman"/>
                <w:color w:val="FF0000"/>
                <w:sz w:val="24"/>
              </w:rPr>
            </w:pPr>
            <w:r>
              <w:rPr>
                <w:rFonts w:ascii="宋体" w:hAnsi="宋体" w:cs="Times New Roman"/>
                <w:color w:val="FF0000"/>
                <w:sz w:val="24"/>
              </w:rPr>
              <w:br w:type="page"/>
            </w:r>
          </w:p>
          <w:p>
            <w:pPr>
              <w:widowControl/>
              <w:jc w:val="left"/>
              <w:rPr>
                <w:rFonts w:ascii="宋体" w:hAnsi="宋体" w:cs="宋体"/>
                <w:kern w:val="0"/>
                <w:sz w:val="24"/>
              </w:rPr>
            </w:pPr>
          </w:p>
        </w:tc>
      </w:tr>
    </w:tbl>
    <w:p>
      <w:pPr>
        <w:tabs>
          <w:tab w:val="left" w:pos="7560"/>
        </w:tabs>
        <w:adjustRightInd w:val="0"/>
        <w:snapToGrid w:val="0"/>
        <w:spacing w:line="560" w:lineRule="exact"/>
        <w:jc w:val="left"/>
        <w:rPr>
          <w:rFonts w:ascii="仿宋_GB2312" w:eastAsia="仿宋_GB2312"/>
          <w:sz w:val="28"/>
          <w:szCs w:val="28"/>
        </w:rPr>
        <w:sectPr>
          <w:pgSz w:w="16838" w:h="11906" w:orient="landscape"/>
          <w:pgMar w:top="1531" w:right="2098" w:bottom="1531" w:left="1985" w:header="851" w:footer="1588" w:gutter="0"/>
          <w:cols w:space="720" w:num="1"/>
          <w:titlePg/>
          <w:docGrid w:linePitch="312" w:charSpace="0"/>
        </w:sectPr>
      </w:pP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第三部分</w:t>
      </w:r>
    </w:p>
    <w:p>
      <w:pPr>
        <w:pStyle w:val="15"/>
        <w:jc w:val="center"/>
        <w:rPr>
          <w:rFonts w:hint="eastAsia" w:ascii="方正小标宋简体" w:eastAsia="方正小标宋简体"/>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202</w:t>
      </w:r>
      <w:r>
        <w:rPr>
          <w:rFonts w:hint="default" w:ascii="方正小标宋简体" w:eastAsia="方正小标宋简体"/>
          <w:sz w:val="72"/>
          <w:szCs w:val="72"/>
          <w:lang w:val="en" w:eastAsia="zh-CN"/>
        </w:rPr>
        <w:t>3</w:t>
      </w:r>
      <w:r>
        <w:rPr>
          <w:rFonts w:hint="eastAsia" w:ascii="方正小标宋简体" w:eastAsia="方正小标宋简体"/>
          <w:sz w:val="72"/>
          <w:szCs w:val="72"/>
        </w:rPr>
        <w:t>年度部门决算情况说明</w:t>
      </w:r>
    </w:p>
    <w:p>
      <w:pPr>
        <w:pStyle w:val="15"/>
        <w:rPr>
          <w:rFonts w:hAnsi="黑体"/>
          <w:color w:val="auto"/>
          <w:sz w:val="32"/>
          <w:szCs w:val="32"/>
        </w:rPr>
      </w:pPr>
      <w:r>
        <w:rPr>
          <w:rFonts w:hint="eastAsia" w:ascii="方正小标宋简体" w:eastAsia="方正小标宋简体"/>
          <w:sz w:val="72"/>
          <w:szCs w:val="72"/>
        </w:rPr>
        <w:br w:type="page"/>
      </w:r>
      <w:r>
        <w:rPr>
          <w:rFonts w:hint="eastAsia" w:hAnsi="黑体"/>
          <w:color w:val="auto"/>
          <w:sz w:val="32"/>
          <w:szCs w:val="32"/>
        </w:rPr>
        <w:t>一、收入支出决算总体情况说明</w:t>
      </w:r>
    </w:p>
    <w:p>
      <w:pPr>
        <w:pStyle w:val="15"/>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default" w:ascii="仿宋_GB2312" w:hAnsi="宋体" w:eastAsia="仿宋_GB2312"/>
          <w:color w:val="auto"/>
          <w:sz w:val="32"/>
          <w:szCs w:val="32"/>
          <w:lang w:val="en" w:eastAsia="zh-CN"/>
        </w:rPr>
        <w:t>3</w:t>
      </w:r>
      <w:r>
        <w:rPr>
          <w:rFonts w:hint="eastAsia" w:ascii="仿宋_GB2312" w:hAnsi="宋体" w:eastAsia="仿宋_GB2312"/>
          <w:color w:val="auto"/>
          <w:sz w:val="32"/>
          <w:szCs w:val="32"/>
        </w:rPr>
        <w:t>年度收、支总计</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万元。与上年相比，</w:t>
      </w:r>
      <w:r>
        <w:rPr>
          <w:rFonts w:hint="eastAsia" w:ascii="仿宋_GB2312" w:hAnsi="宋体" w:eastAsia="仿宋_GB2312"/>
          <w:color w:val="auto"/>
          <w:sz w:val="32"/>
          <w:szCs w:val="32"/>
          <w:lang w:eastAsia="zh-CN"/>
        </w:rPr>
        <w:t>减少</w:t>
      </w:r>
      <w:r>
        <w:rPr>
          <w:rFonts w:hint="default" w:ascii="仿宋_GB2312" w:hAnsi="宋体" w:eastAsia="仿宋_GB2312"/>
          <w:color w:val="auto"/>
          <w:sz w:val="32"/>
          <w:szCs w:val="32"/>
          <w:lang w:val="en" w:eastAsia="zh-CN"/>
        </w:rPr>
        <w:t>63.59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降低</w:t>
      </w:r>
      <w:r>
        <w:rPr>
          <w:rFonts w:hint="eastAsia" w:ascii="仿宋_GB2312" w:hAnsi="宋体" w:eastAsia="仿宋_GB2312"/>
          <w:color w:val="auto"/>
          <w:sz w:val="32"/>
          <w:szCs w:val="32"/>
          <w:lang w:val="en-US" w:eastAsia="zh-CN"/>
        </w:rPr>
        <w:t>12.64</w:t>
      </w:r>
      <w:r>
        <w:rPr>
          <w:rFonts w:hint="eastAsia" w:ascii="仿宋_GB2312" w:hAnsi="宋体" w:eastAsia="仿宋_GB2312"/>
          <w:color w:val="auto"/>
          <w:sz w:val="32"/>
          <w:szCs w:val="32"/>
        </w:rPr>
        <w:t>%，主要是因为</w:t>
      </w:r>
      <w:r>
        <w:rPr>
          <w:rFonts w:hint="eastAsia" w:ascii="仿宋_GB2312" w:hAnsi="宋体" w:eastAsia="仿宋_GB2312"/>
          <w:color w:val="auto"/>
          <w:sz w:val="32"/>
          <w:szCs w:val="32"/>
          <w:lang w:val="en-US" w:eastAsia="zh-CN"/>
        </w:rPr>
        <w:t>2023年较2022年相比项目经费较大幅度减少，年中只追加了职业教育发展专项经费，金额为19万元。</w:t>
      </w:r>
    </w:p>
    <w:p>
      <w:pPr>
        <w:pStyle w:val="15"/>
        <w:spacing w:line="560" w:lineRule="exact"/>
        <w:rPr>
          <w:rFonts w:hAnsi="黑体"/>
          <w:color w:val="auto"/>
          <w:sz w:val="32"/>
          <w:szCs w:val="32"/>
        </w:rPr>
      </w:pPr>
      <w:r>
        <w:rPr>
          <w:rFonts w:hint="eastAsia" w:hAnsi="黑体"/>
          <w:color w:val="auto"/>
          <w:sz w:val="32"/>
          <w:szCs w:val="32"/>
        </w:rPr>
        <w:t>二、收入决算情况说明</w:t>
      </w:r>
    </w:p>
    <w:p>
      <w:pPr>
        <w:pStyle w:val="15"/>
        <w:spacing w:line="560" w:lineRule="exact"/>
        <w:ind w:firstLine="640" w:firstLineChars="200"/>
        <w:rPr>
          <w:rFonts w:ascii="宋体" w:hAnsi="宋体" w:eastAsia="宋体"/>
          <w:color w:val="auto"/>
          <w:sz w:val="32"/>
          <w:szCs w:val="32"/>
        </w:rPr>
      </w:pPr>
      <w:r>
        <w:rPr>
          <w:rFonts w:hint="eastAsia" w:ascii="仿宋_GB2312" w:hAnsi="宋体" w:eastAsia="仿宋_GB2312"/>
          <w:color w:val="auto"/>
          <w:sz w:val="32"/>
          <w:szCs w:val="32"/>
        </w:rPr>
        <w:t>本年收入合计</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万元，其中：财政拨款收入</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w:t>
      </w:r>
    </w:p>
    <w:p>
      <w:pPr>
        <w:pStyle w:val="15"/>
        <w:spacing w:line="560" w:lineRule="exact"/>
        <w:rPr>
          <w:rFonts w:hAnsi="黑体"/>
          <w:color w:val="auto"/>
          <w:sz w:val="32"/>
          <w:szCs w:val="32"/>
        </w:rPr>
      </w:pPr>
      <w:r>
        <w:rPr>
          <w:rFonts w:hint="eastAsia" w:hAnsi="黑体"/>
          <w:color w:val="auto"/>
          <w:sz w:val="32"/>
          <w:szCs w:val="32"/>
        </w:rPr>
        <w:t>三、支出决算情况说明</w:t>
      </w:r>
    </w:p>
    <w:p>
      <w:pPr>
        <w:pStyle w:val="15"/>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本年支出合计</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万元，其中：基本支出</w:t>
      </w:r>
      <w:r>
        <w:rPr>
          <w:rFonts w:hint="eastAsia" w:ascii="仿宋_GB2312" w:hAnsi="宋体" w:eastAsia="仿宋_GB2312"/>
          <w:color w:val="auto"/>
          <w:sz w:val="32"/>
          <w:szCs w:val="32"/>
          <w:lang w:val="en-US" w:eastAsia="zh-CN"/>
        </w:rPr>
        <w:t>420.71</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95.74</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val="en-US" w:eastAsia="zh-CN"/>
        </w:rPr>
        <w:t>18.75</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4.26</w:t>
      </w:r>
      <w:r>
        <w:rPr>
          <w:rFonts w:hint="eastAsia" w:ascii="仿宋_GB2312" w:hAnsi="宋体" w:eastAsia="仿宋_GB2312"/>
          <w:color w:val="auto"/>
          <w:sz w:val="32"/>
          <w:szCs w:val="32"/>
        </w:rPr>
        <w:t>%。</w:t>
      </w:r>
    </w:p>
    <w:p>
      <w:pPr>
        <w:pStyle w:val="15"/>
        <w:spacing w:line="560" w:lineRule="exact"/>
        <w:rPr>
          <w:rFonts w:hAnsi="黑体"/>
          <w:color w:val="auto"/>
          <w:sz w:val="32"/>
          <w:szCs w:val="32"/>
        </w:rPr>
      </w:pPr>
      <w:r>
        <w:rPr>
          <w:rFonts w:hint="eastAsia" w:hAnsi="黑体"/>
          <w:color w:val="auto"/>
          <w:sz w:val="32"/>
          <w:szCs w:val="32"/>
        </w:rPr>
        <w:t>四、财政拨款收入支出决算总体情况说明</w:t>
      </w:r>
    </w:p>
    <w:p>
      <w:pPr>
        <w:pStyle w:val="15"/>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年度财政拨款收、支总计</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万元，与上年相比，</w:t>
      </w:r>
      <w:r>
        <w:rPr>
          <w:rFonts w:hint="eastAsia" w:ascii="仿宋_GB2312" w:hAnsi="宋体" w:eastAsia="仿宋_GB2312"/>
          <w:color w:val="auto"/>
          <w:sz w:val="32"/>
          <w:szCs w:val="32"/>
          <w:lang w:eastAsia="zh-CN"/>
        </w:rPr>
        <w:t>减少</w:t>
      </w:r>
      <w:r>
        <w:rPr>
          <w:rFonts w:hint="default" w:ascii="仿宋_GB2312" w:hAnsi="宋体" w:eastAsia="仿宋_GB2312"/>
          <w:color w:val="auto"/>
          <w:sz w:val="32"/>
          <w:szCs w:val="32"/>
          <w:lang w:val="en" w:eastAsia="zh-CN"/>
        </w:rPr>
        <w:t>63.59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降低</w:t>
      </w:r>
      <w:r>
        <w:rPr>
          <w:rFonts w:hint="eastAsia" w:ascii="仿宋_GB2312" w:hAnsi="宋体" w:eastAsia="仿宋_GB2312"/>
          <w:color w:val="auto"/>
          <w:sz w:val="32"/>
          <w:szCs w:val="32"/>
          <w:lang w:val="en-US" w:eastAsia="zh-CN"/>
        </w:rPr>
        <w:t>12.64</w:t>
      </w:r>
      <w:r>
        <w:rPr>
          <w:rFonts w:hint="eastAsia" w:ascii="仿宋_GB2312" w:hAnsi="宋体" w:eastAsia="仿宋_GB2312"/>
          <w:color w:val="auto"/>
          <w:sz w:val="32"/>
          <w:szCs w:val="32"/>
        </w:rPr>
        <w:t>%，主要是因为</w:t>
      </w:r>
      <w:r>
        <w:rPr>
          <w:rFonts w:hint="eastAsia" w:ascii="仿宋_GB2312" w:hAnsi="宋体" w:eastAsia="仿宋_GB2312"/>
          <w:color w:val="auto"/>
          <w:sz w:val="32"/>
          <w:szCs w:val="32"/>
          <w:lang w:val="en-US" w:eastAsia="zh-CN"/>
        </w:rPr>
        <w:t>2023年较2022年相比项目经费较大幅度减少，年中只追加了职业教育发展专项经费，金额为19万元。</w:t>
      </w:r>
    </w:p>
    <w:p>
      <w:pPr>
        <w:pStyle w:val="15"/>
        <w:spacing w:line="560" w:lineRule="exact"/>
        <w:rPr>
          <w:rFonts w:hAnsi="黑体"/>
          <w:color w:val="auto"/>
          <w:sz w:val="32"/>
          <w:szCs w:val="32"/>
        </w:rPr>
      </w:pPr>
      <w:r>
        <w:rPr>
          <w:rFonts w:hint="eastAsia" w:hAnsi="黑体"/>
          <w:color w:val="auto"/>
          <w:sz w:val="32"/>
          <w:szCs w:val="32"/>
        </w:rPr>
        <w:t>五、一般公共预算财政拨款支出决算情况说明</w:t>
      </w:r>
    </w:p>
    <w:p>
      <w:pPr>
        <w:pStyle w:val="15"/>
        <w:spacing w:line="56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（一）一般公共预算财政拨款支出决算总体情况</w:t>
      </w:r>
    </w:p>
    <w:p>
      <w:pPr>
        <w:pStyle w:val="15"/>
        <w:spacing w:line="560" w:lineRule="exact"/>
        <w:ind w:firstLine="640" w:firstLineChars="200"/>
        <w:rPr>
          <w:rFonts w:hint="default"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年度一般公共预算财政拨款支出</w:t>
      </w:r>
      <w:r>
        <w:rPr>
          <w:rFonts w:hint="default" w:ascii="仿宋_GB2312" w:hAnsi="宋体" w:eastAsia="仿宋_GB2312"/>
          <w:color w:val="auto"/>
          <w:sz w:val="32"/>
          <w:szCs w:val="32"/>
          <w:lang w:val="en" w:eastAsia="zh-CN"/>
        </w:rPr>
        <w:t>439.45</w:t>
      </w:r>
      <w:r>
        <w:rPr>
          <w:rFonts w:hint="eastAsia" w:ascii="仿宋_GB2312" w:hAnsi="宋体" w:eastAsia="仿宋_GB2312"/>
          <w:color w:val="auto"/>
          <w:sz w:val="32"/>
          <w:szCs w:val="32"/>
        </w:rPr>
        <w:t>万元，占本年支出合计的</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%，与上年相比，一般公共预算财政拨款支出</w:t>
      </w:r>
      <w:r>
        <w:rPr>
          <w:rFonts w:hint="eastAsia" w:ascii="仿宋_GB2312" w:hAnsi="宋体" w:eastAsia="仿宋_GB2312"/>
          <w:color w:val="auto"/>
          <w:sz w:val="32"/>
          <w:szCs w:val="32"/>
          <w:lang w:eastAsia="zh-CN"/>
        </w:rPr>
        <w:t>减少</w:t>
      </w:r>
      <w:r>
        <w:rPr>
          <w:rFonts w:hint="default" w:ascii="仿宋_GB2312" w:hAnsi="宋体" w:eastAsia="仿宋_GB2312"/>
          <w:color w:val="auto"/>
          <w:sz w:val="32"/>
          <w:szCs w:val="32"/>
          <w:lang w:val="en" w:eastAsia="zh-CN"/>
        </w:rPr>
        <w:t>63.59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降低</w:t>
      </w:r>
      <w:r>
        <w:rPr>
          <w:rFonts w:hint="eastAsia" w:ascii="仿宋_GB2312" w:hAnsi="宋体" w:eastAsia="仿宋_GB2312"/>
          <w:color w:val="auto"/>
          <w:sz w:val="32"/>
          <w:szCs w:val="32"/>
          <w:lang w:val="en-US" w:eastAsia="zh-CN"/>
        </w:rPr>
        <w:t>12.64</w:t>
      </w:r>
      <w:r>
        <w:rPr>
          <w:rFonts w:hint="eastAsia" w:ascii="仿宋_GB2312" w:hAnsi="宋体" w:eastAsia="仿宋_GB2312"/>
          <w:color w:val="auto"/>
          <w:sz w:val="32"/>
          <w:szCs w:val="32"/>
        </w:rPr>
        <w:t>%，主要是因为</w:t>
      </w:r>
      <w:r>
        <w:rPr>
          <w:rFonts w:hint="eastAsia" w:ascii="仿宋_GB2312" w:hAnsi="宋体" w:eastAsia="仿宋_GB2312"/>
          <w:color w:val="auto"/>
          <w:sz w:val="32"/>
          <w:szCs w:val="32"/>
          <w:lang w:val="en-US" w:eastAsia="zh-CN"/>
        </w:rPr>
        <w:t>2023年较2022年相比项目经费较大幅度减少，年中只追加了职业教育发展专项经费，金额为19万元。</w:t>
      </w:r>
    </w:p>
    <w:p>
      <w:pPr>
        <w:pStyle w:val="15"/>
        <w:spacing w:line="56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（二）一般公共预算财政拨款支出决算结构情况</w:t>
      </w:r>
    </w:p>
    <w:p>
      <w:pPr>
        <w:pStyle w:val="15"/>
        <w:spacing w:line="560" w:lineRule="exact"/>
        <w:ind w:firstLine="640" w:firstLineChars="20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年度一般公共预算财政拨款支出</w:t>
      </w:r>
      <w:r>
        <w:rPr>
          <w:rFonts w:hint="eastAsia" w:ascii="仿宋_GB2312" w:hAnsi="宋体" w:eastAsia="仿宋_GB2312"/>
          <w:color w:val="auto"/>
          <w:sz w:val="32"/>
          <w:szCs w:val="32"/>
          <w:lang w:val="en-US" w:eastAsia="zh-CN"/>
        </w:rPr>
        <w:t>439.45</w:t>
      </w:r>
      <w:r>
        <w:rPr>
          <w:rFonts w:hint="eastAsia" w:ascii="仿宋_GB2312" w:hAnsi="宋体" w:eastAsia="仿宋_GB2312"/>
          <w:color w:val="auto"/>
          <w:sz w:val="32"/>
          <w:szCs w:val="32"/>
        </w:rPr>
        <w:t>万元，主要用于以下方面：教育（类）支出</w:t>
      </w:r>
      <w:r>
        <w:rPr>
          <w:rFonts w:hint="eastAsia" w:ascii="仿宋_GB2312" w:hAnsi="宋体" w:eastAsia="仿宋_GB2312"/>
          <w:color w:val="auto"/>
          <w:sz w:val="32"/>
          <w:szCs w:val="32"/>
          <w:lang w:val="en-US" w:eastAsia="zh-CN"/>
        </w:rPr>
        <w:t>439.45</w:t>
      </w:r>
      <w:r>
        <w:rPr>
          <w:rFonts w:hint="eastAsia" w:ascii="仿宋_GB2312" w:hAnsi="宋体" w:eastAsia="仿宋_GB2312"/>
          <w:color w:val="auto"/>
          <w:sz w:val="32"/>
          <w:szCs w:val="32"/>
        </w:rPr>
        <w:t>万元，占</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w:t>
      </w:r>
    </w:p>
    <w:p>
      <w:pPr>
        <w:pStyle w:val="15"/>
        <w:spacing w:line="560" w:lineRule="exact"/>
        <w:ind w:firstLine="643" w:firstLineChars="200"/>
        <w:rPr>
          <w:rFonts w:ascii="仿宋_GB2312" w:hAnsi="宋体" w:eastAsia="仿宋_GB2312"/>
          <w:b/>
          <w:color w:val="auto"/>
          <w:sz w:val="32"/>
          <w:szCs w:val="32"/>
        </w:rPr>
      </w:pPr>
      <w:r>
        <w:rPr>
          <w:rFonts w:hint="eastAsia" w:ascii="仿宋_GB2312" w:hAnsi="宋体" w:eastAsia="仿宋_GB2312"/>
          <w:b/>
          <w:color w:val="auto"/>
          <w:sz w:val="32"/>
          <w:szCs w:val="32"/>
        </w:rPr>
        <w:t>（三）一般公共预算财政拨款支出决算具体情况</w:t>
      </w:r>
    </w:p>
    <w:p>
      <w:pPr>
        <w:pStyle w:val="15"/>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年度一般公共预算财政拨款支出年初预算数为</w:t>
      </w:r>
      <w:r>
        <w:rPr>
          <w:rFonts w:hint="eastAsia" w:ascii="仿宋_GB2312" w:hAnsi="宋体" w:eastAsia="仿宋_GB2312"/>
          <w:color w:val="auto"/>
          <w:sz w:val="32"/>
          <w:szCs w:val="32"/>
          <w:lang w:val="en-US" w:eastAsia="zh-CN"/>
        </w:rPr>
        <w:t>431.64</w:t>
      </w:r>
      <w:r>
        <w:rPr>
          <w:rFonts w:hint="eastAsia" w:ascii="仿宋_GB2312" w:hAnsi="宋体" w:eastAsia="仿宋_GB2312"/>
          <w:color w:val="auto"/>
          <w:sz w:val="32"/>
          <w:szCs w:val="32"/>
        </w:rPr>
        <w:t>万元，一般公共预算财政拨款支出决算数为</w:t>
      </w:r>
      <w:r>
        <w:rPr>
          <w:rFonts w:hint="eastAsia" w:ascii="仿宋_GB2312" w:hAnsi="宋体" w:eastAsia="仿宋_GB2312"/>
          <w:color w:val="auto"/>
          <w:sz w:val="32"/>
          <w:szCs w:val="32"/>
          <w:lang w:val="en-US" w:eastAsia="zh-CN"/>
        </w:rPr>
        <w:t>439.45</w:t>
      </w:r>
      <w:r>
        <w:rPr>
          <w:rFonts w:hint="eastAsia" w:ascii="仿宋_GB2312" w:hAnsi="宋体" w:eastAsia="仿宋_GB2312"/>
          <w:color w:val="auto"/>
          <w:sz w:val="32"/>
          <w:szCs w:val="32"/>
        </w:rPr>
        <w:t>万元，完成年初预算的</w:t>
      </w:r>
      <w:r>
        <w:rPr>
          <w:rFonts w:hint="eastAsia" w:ascii="仿宋_GB2312" w:hAnsi="宋体" w:eastAsia="仿宋_GB2312"/>
          <w:color w:val="auto"/>
          <w:sz w:val="32"/>
          <w:szCs w:val="32"/>
          <w:lang w:val="en-US" w:eastAsia="zh-CN"/>
        </w:rPr>
        <w:t>101.8</w:t>
      </w:r>
      <w:r>
        <w:rPr>
          <w:rFonts w:hint="eastAsia" w:ascii="仿宋_GB2312" w:hAnsi="宋体" w:eastAsia="仿宋_GB2312"/>
          <w:color w:val="auto"/>
          <w:sz w:val="32"/>
          <w:szCs w:val="32"/>
        </w:rPr>
        <w:t>%，其中：</w:t>
      </w:r>
    </w:p>
    <w:p>
      <w:pPr>
        <w:pStyle w:val="15"/>
        <w:numPr>
          <w:ilvl w:val="0"/>
          <w:numId w:val="1"/>
        </w:numPr>
        <w:spacing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教育支出（类）</w:t>
      </w:r>
      <w:r>
        <w:rPr>
          <w:rFonts w:hint="default" w:ascii="Times New Roman" w:hAnsi="Times New Roman" w:eastAsia="仿宋_GB2312" w:cs="Times New Roman"/>
          <w:color w:val="auto"/>
          <w:sz w:val="32"/>
          <w:szCs w:val="32"/>
          <w:highlight w:val="none"/>
          <w:lang w:eastAsia="zh-CN"/>
        </w:rPr>
        <w:t>职业教育</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eastAsia="zh-CN"/>
        </w:rPr>
        <w:t>其他职业教育</w:t>
      </w:r>
      <w:r>
        <w:rPr>
          <w:rFonts w:hint="default" w:ascii="Times New Roman" w:hAnsi="Times New Roman" w:eastAsia="仿宋_GB2312" w:cs="Times New Roman"/>
          <w:color w:val="auto"/>
          <w:sz w:val="32"/>
          <w:szCs w:val="32"/>
          <w:highlight w:val="none"/>
        </w:rPr>
        <w:t>支出（项）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年初预算为</w:t>
      </w:r>
      <w:r>
        <w:rPr>
          <w:rFonts w:hint="default" w:ascii="Times New Roman" w:hAnsi="Times New Roman" w:eastAsia="仿宋_GB2312" w:cs="Times New Roman"/>
          <w:color w:val="auto"/>
          <w:sz w:val="32"/>
          <w:szCs w:val="32"/>
          <w:highlight w:val="none"/>
          <w:lang w:val="en-US" w:eastAsia="zh-CN"/>
        </w:rPr>
        <w:t>0.00</w:t>
      </w:r>
      <w:r>
        <w:rPr>
          <w:rFonts w:hint="default" w:ascii="Times New Roman" w:hAnsi="Times New Roman" w:eastAsia="仿宋_GB2312" w:cs="Times New Roman"/>
          <w:color w:val="auto"/>
          <w:sz w:val="32"/>
          <w:szCs w:val="32"/>
          <w:highlight w:val="none"/>
        </w:rPr>
        <w:t>万元，支出决算为</w:t>
      </w:r>
      <w:r>
        <w:rPr>
          <w:rFonts w:hint="eastAsia" w:ascii="Times New Roman" w:hAnsi="Times New Roman" w:eastAsia="仿宋_GB2312" w:cs="Times New Roman"/>
          <w:color w:val="auto"/>
          <w:sz w:val="32"/>
          <w:szCs w:val="32"/>
          <w:highlight w:val="none"/>
          <w:lang w:val="en-US" w:eastAsia="zh-CN"/>
        </w:rPr>
        <w:t>18.75</w:t>
      </w:r>
      <w:r>
        <w:rPr>
          <w:rFonts w:hint="default" w:ascii="Times New Roman" w:hAnsi="Times New Roman" w:eastAsia="仿宋_GB2312" w:cs="Times New Roman"/>
          <w:color w:val="auto"/>
          <w:sz w:val="32"/>
          <w:szCs w:val="32"/>
          <w:highlight w:val="none"/>
        </w:rPr>
        <w:t>万元，决算数大于年初预算数的主要原因是：</w:t>
      </w:r>
      <w:r>
        <w:rPr>
          <w:rFonts w:hint="default" w:ascii="Times New Roman" w:hAnsi="Times New Roman" w:eastAsia="仿宋_GB2312" w:cs="Times New Roman"/>
          <w:color w:val="auto"/>
          <w:sz w:val="32"/>
          <w:szCs w:val="32"/>
          <w:highlight w:val="none"/>
          <w:lang w:eastAsia="zh-CN"/>
        </w:rPr>
        <w:t>根据实际情况追加了职业发展教育专项经费</w:t>
      </w:r>
      <w:r>
        <w:rPr>
          <w:rFonts w:hint="eastAsia"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lang w:val="en-US" w:eastAsia="zh-CN"/>
        </w:rPr>
        <w:t>万元。</w:t>
      </w:r>
    </w:p>
    <w:p>
      <w:pPr>
        <w:pStyle w:val="15"/>
        <w:numPr>
          <w:ilvl w:val="0"/>
          <w:numId w:val="1"/>
        </w:numPr>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教育支出（类）其他教育支出（款）其他教育支出（项）。</w:t>
      </w:r>
    </w:p>
    <w:p>
      <w:pPr>
        <w:pStyle w:val="15"/>
        <w:numPr>
          <w:ilvl w:val="0"/>
          <w:numId w:val="0"/>
        </w:numPr>
        <w:spacing w:line="56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年初预算为</w:t>
      </w:r>
      <w:r>
        <w:rPr>
          <w:rFonts w:hint="eastAsia" w:ascii="仿宋_GB2312" w:hAnsi="仿宋_GB2312" w:eastAsia="仿宋_GB2312" w:cs="仿宋_GB2312"/>
          <w:color w:val="auto"/>
          <w:sz w:val="32"/>
          <w:szCs w:val="32"/>
          <w:highlight w:val="none"/>
          <w:lang w:val="en-US" w:eastAsia="zh-CN"/>
        </w:rPr>
        <w:t>431.64</w:t>
      </w:r>
      <w:r>
        <w:rPr>
          <w:rFonts w:hint="eastAsia" w:ascii="仿宋_GB2312" w:hAnsi="仿宋_GB2312" w:eastAsia="仿宋_GB2312" w:cs="仿宋_GB2312"/>
          <w:color w:val="auto"/>
          <w:sz w:val="32"/>
          <w:szCs w:val="32"/>
          <w:highlight w:val="none"/>
        </w:rPr>
        <w:t>万元，支出决算为</w:t>
      </w:r>
      <w:r>
        <w:rPr>
          <w:rFonts w:hint="eastAsia" w:ascii="仿宋_GB2312" w:hAnsi="仿宋_GB2312" w:eastAsia="仿宋_GB2312" w:cs="仿宋_GB2312"/>
          <w:color w:val="auto"/>
          <w:sz w:val="32"/>
          <w:szCs w:val="32"/>
          <w:highlight w:val="none"/>
          <w:lang w:val="en-US" w:eastAsia="zh-CN"/>
        </w:rPr>
        <w:t>420.71</w:t>
      </w:r>
      <w:r>
        <w:rPr>
          <w:rFonts w:hint="eastAsia" w:ascii="仿宋_GB2312" w:hAnsi="仿宋_GB2312" w:eastAsia="仿宋_GB2312" w:cs="仿宋_GB2312"/>
          <w:color w:val="auto"/>
          <w:sz w:val="32"/>
          <w:szCs w:val="32"/>
          <w:highlight w:val="none"/>
        </w:rPr>
        <w:t>万元，完成年初预算的</w:t>
      </w:r>
      <w:r>
        <w:rPr>
          <w:rFonts w:hint="eastAsia" w:ascii="仿宋_GB2312" w:hAnsi="仿宋_GB2312" w:eastAsia="仿宋_GB2312" w:cs="仿宋_GB2312"/>
          <w:color w:val="auto"/>
          <w:sz w:val="32"/>
          <w:szCs w:val="32"/>
          <w:highlight w:val="none"/>
          <w:lang w:val="en-US" w:eastAsia="zh-CN"/>
        </w:rPr>
        <w:t>97.47</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小于</w:t>
      </w:r>
      <w:r>
        <w:rPr>
          <w:rFonts w:hint="eastAsia" w:ascii="仿宋_GB2312" w:hAnsi="仿宋_GB2312" w:eastAsia="仿宋_GB2312" w:cs="仿宋_GB2312"/>
          <w:color w:val="auto"/>
          <w:sz w:val="32"/>
          <w:szCs w:val="32"/>
          <w:highlight w:val="none"/>
        </w:rPr>
        <w:t>年初预算数的主要原因是</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eastAsia="zh-CN"/>
        </w:rPr>
        <w:t>⑴</w:t>
      </w:r>
      <w:r>
        <w:rPr>
          <w:rFonts w:hint="eastAsia" w:ascii="仿宋_GB2312" w:hAnsi="仿宋_GB2312" w:eastAsia="仿宋_GB2312" w:cs="仿宋_GB2312"/>
          <w:color w:val="auto"/>
          <w:sz w:val="32"/>
          <w:szCs w:val="32"/>
          <w:highlight w:val="none"/>
          <w:lang w:eastAsia="zh-CN"/>
        </w:rPr>
        <w:t>年中冻结部分指标金额；⑵人员进出变动，导致人员经费指标结余。</w:t>
      </w:r>
    </w:p>
    <w:p>
      <w:pPr>
        <w:pStyle w:val="15"/>
        <w:spacing w:line="560" w:lineRule="exact"/>
        <w:rPr>
          <w:rFonts w:hAnsi="黑体"/>
          <w:sz w:val="32"/>
          <w:szCs w:val="32"/>
        </w:rPr>
      </w:pPr>
      <w:r>
        <w:rPr>
          <w:rFonts w:hint="eastAsia" w:hAnsi="黑体"/>
          <w:sz w:val="32"/>
          <w:szCs w:val="32"/>
        </w:rPr>
        <w:t>六、一般公共预算财政拨款基本支出决算情况说明</w:t>
      </w:r>
    </w:p>
    <w:p>
      <w:pPr>
        <w:pStyle w:val="15"/>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年度一般公共预算财政拨款基本支出</w:t>
      </w:r>
      <w:r>
        <w:rPr>
          <w:rFonts w:hint="eastAsia" w:ascii="仿宋_GB2312" w:hAnsi="宋体" w:eastAsia="仿宋_GB2312"/>
          <w:color w:val="auto"/>
          <w:sz w:val="32"/>
          <w:szCs w:val="32"/>
          <w:lang w:val="en-US" w:eastAsia="zh-CN"/>
        </w:rPr>
        <w:t>420.71</w:t>
      </w:r>
      <w:r>
        <w:rPr>
          <w:rFonts w:hint="eastAsia" w:ascii="仿宋_GB2312" w:hAnsi="宋体" w:eastAsia="仿宋_GB2312"/>
          <w:color w:val="auto"/>
          <w:sz w:val="32"/>
          <w:szCs w:val="32"/>
        </w:rPr>
        <w:t>万元，其中：人员经费</w:t>
      </w:r>
      <w:r>
        <w:rPr>
          <w:rFonts w:hint="eastAsia" w:ascii="仿宋_GB2312" w:hAnsi="宋体" w:eastAsia="仿宋_GB2312"/>
          <w:color w:val="auto"/>
          <w:sz w:val="32"/>
          <w:szCs w:val="32"/>
          <w:lang w:val="en-US" w:eastAsia="zh-CN"/>
        </w:rPr>
        <w:t>277.68</w:t>
      </w:r>
      <w:r>
        <w:rPr>
          <w:rFonts w:hint="eastAsia" w:ascii="仿宋_GB2312" w:hAnsi="宋体" w:eastAsia="仿宋_GB2312"/>
          <w:color w:val="auto"/>
          <w:sz w:val="32"/>
          <w:szCs w:val="32"/>
        </w:rPr>
        <w:t>万元，占基本支出的</w:t>
      </w:r>
      <w:r>
        <w:rPr>
          <w:rFonts w:hint="eastAsia" w:ascii="仿宋_GB2312" w:hAnsi="宋体" w:eastAsia="仿宋_GB2312"/>
          <w:color w:val="auto"/>
          <w:sz w:val="32"/>
          <w:szCs w:val="32"/>
          <w:lang w:val="en-US" w:eastAsia="zh-CN"/>
        </w:rPr>
        <w:t>66</w:t>
      </w:r>
      <w:r>
        <w:rPr>
          <w:rFonts w:hint="eastAsia" w:ascii="仿宋_GB2312" w:hAnsi="宋体" w:eastAsia="仿宋_GB2312"/>
          <w:color w:val="auto"/>
          <w:sz w:val="32"/>
          <w:szCs w:val="32"/>
        </w:rPr>
        <w:t>%,主要包括</w:t>
      </w:r>
      <w:r>
        <w:rPr>
          <w:rFonts w:hint="default" w:ascii="Times New Roman" w:hAnsi="Times New Roman" w:eastAsia="仿宋_GB2312" w:cs="Times New Roman"/>
          <w:color w:val="auto"/>
          <w:sz w:val="32"/>
          <w:szCs w:val="32"/>
        </w:rPr>
        <w:t>基本工资、奖金、绩效工资、机关事业单位基本养老保险缴费、职工基本医疗保险缴费、公务员医疗补助缴费、其他社会保障缴费、</w:t>
      </w:r>
      <w:r>
        <w:rPr>
          <w:rFonts w:hint="eastAsia" w:ascii="Times New Roman" w:hAnsi="Times New Roman" w:eastAsia="仿宋_GB2312" w:cs="Times New Roman"/>
          <w:color w:val="auto"/>
          <w:sz w:val="32"/>
          <w:szCs w:val="32"/>
          <w:lang w:eastAsia="zh-CN"/>
        </w:rPr>
        <w:t>住房公积金、</w:t>
      </w:r>
      <w:r>
        <w:rPr>
          <w:rFonts w:hint="default" w:ascii="Times New Roman" w:hAnsi="Times New Roman" w:eastAsia="仿宋_GB2312" w:cs="Times New Roman"/>
          <w:color w:val="auto"/>
          <w:sz w:val="32"/>
          <w:szCs w:val="32"/>
        </w:rPr>
        <w:t>医疗费</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退休费、生活补助、</w:t>
      </w:r>
      <w:r>
        <w:rPr>
          <w:rFonts w:hint="eastAsia" w:ascii="Times New Roman" w:hAnsi="Times New Roman" w:eastAsia="仿宋_GB2312" w:cs="Times New Roman"/>
          <w:color w:val="auto"/>
          <w:sz w:val="32"/>
          <w:szCs w:val="32"/>
          <w:lang w:val="en-US" w:eastAsia="zh-CN"/>
        </w:rPr>
        <w:t>医疗费补助</w:t>
      </w:r>
      <w:r>
        <w:rPr>
          <w:rFonts w:hint="default" w:ascii="Times New Roman" w:hAnsi="Times New Roman" w:eastAsia="仿宋_GB2312" w:cs="Times New Roman"/>
          <w:color w:val="auto"/>
          <w:sz w:val="32"/>
          <w:szCs w:val="32"/>
        </w:rPr>
        <w:t>；</w:t>
      </w:r>
      <w:r>
        <w:rPr>
          <w:rFonts w:hint="eastAsia" w:ascii="仿宋_GB2312" w:hAnsi="宋体" w:eastAsia="仿宋_GB2312"/>
          <w:color w:val="auto"/>
          <w:sz w:val="32"/>
          <w:szCs w:val="32"/>
        </w:rPr>
        <w:t>公用经费</w:t>
      </w:r>
      <w:r>
        <w:rPr>
          <w:rFonts w:hint="eastAsia" w:ascii="仿宋_GB2312" w:hAnsi="宋体" w:eastAsia="仿宋_GB2312"/>
          <w:color w:val="auto"/>
          <w:sz w:val="32"/>
          <w:szCs w:val="32"/>
          <w:lang w:val="en-US" w:eastAsia="zh-CN"/>
        </w:rPr>
        <w:t>143.02</w:t>
      </w:r>
      <w:r>
        <w:rPr>
          <w:rFonts w:hint="eastAsia" w:ascii="仿宋_GB2312" w:hAnsi="宋体" w:eastAsia="仿宋_GB2312"/>
          <w:color w:val="auto"/>
          <w:sz w:val="32"/>
          <w:szCs w:val="32"/>
        </w:rPr>
        <w:t>万元，占基本支出的</w:t>
      </w:r>
      <w:r>
        <w:rPr>
          <w:rFonts w:hint="eastAsia" w:ascii="仿宋_GB2312" w:hAnsi="宋体" w:eastAsia="仿宋_GB2312"/>
          <w:color w:val="auto"/>
          <w:sz w:val="32"/>
          <w:szCs w:val="32"/>
          <w:lang w:val="en-US" w:eastAsia="zh-CN"/>
        </w:rPr>
        <w:t>33.99</w:t>
      </w:r>
      <w:r>
        <w:rPr>
          <w:rFonts w:hint="eastAsia" w:ascii="仿宋_GB2312" w:hAnsi="宋体" w:eastAsia="仿宋_GB2312"/>
          <w:color w:val="auto"/>
          <w:sz w:val="32"/>
          <w:szCs w:val="32"/>
        </w:rPr>
        <w:t>%，主要包括办公费、印刷费、咨询</w:t>
      </w:r>
      <w:r>
        <w:rPr>
          <w:rFonts w:hint="eastAsia" w:ascii="Times New Roman" w:hAnsi="Times New Roman" w:eastAsia="仿宋_GB2312" w:cs="Times New Roman"/>
          <w:color w:val="auto"/>
          <w:sz w:val="32"/>
          <w:szCs w:val="32"/>
        </w:rPr>
        <w:t>费、</w:t>
      </w:r>
      <w:r>
        <w:rPr>
          <w:rFonts w:hint="default" w:ascii="Times New Roman" w:hAnsi="Times New Roman" w:eastAsia="仿宋_GB2312" w:cs="Times New Roman"/>
          <w:color w:val="auto"/>
          <w:sz w:val="32"/>
          <w:szCs w:val="32"/>
        </w:rPr>
        <w:t>电费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邮电费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物业管理费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差旅费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维修（护）费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租赁费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会议费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培训费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公务接待费、劳务费、委托业务费、工会经费、福利费、公务用车运行维护费、</w:t>
      </w:r>
      <w:r>
        <w:rPr>
          <w:rFonts w:hint="default" w:ascii="Times New Roman" w:hAnsi="Times New Roman" w:eastAsia="仿宋_GB2312" w:cs="Times New Roman"/>
          <w:color w:val="auto"/>
          <w:sz w:val="32"/>
          <w:szCs w:val="32"/>
          <w:lang w:eastAsia="zh-CN"/>
        </w:rPr>
        <w:t>其他交通费用</w:t>
      </w:r>
      <w:r>
        <w:rPr>
          <w:rFonts w:hint="default" w:ascii="Times New Roman" w:hAnsi="Times New Roman" w:eastAsia="仿宋_GB2312" w:cs="Times New Roman"/>
          <w:color w:val="auto"/>
          <w:sz w:val="32"/>
          <w:szCs w:val="32"/>
          <w:lang w:val="en-US" w:eastAsia="zh-CN"/>
        </w:rPr>
        <w:t>，其他商品和服务支出，</w:t>
      </w:r>
      <w:r>
        <w:rPr>
          <w:rFonts w:hint="default" w:ascii="Times New Roman" w:hAnsi="Times New Roman" w:eastAsia="仿宋_GB2312" w:cs="Times New Roman"/>
          <w:color w:val="auto"/>
          <w:sz w:val="32"/>
          <w:szCs w:val="32"/>
        </w:rPr>
        <w:t>办公设备购置、信息网络及软件购置更新。</w:t>
      </w:r>
    </w:p>
    <w:p>
      <w:pPr>
        <w:pStyle w:val="15"/>
        <w:spacing w:line="560" w:lineRule="exact"/>
        <w:rPr>
          <w:rFonts w:hint="eastAsia" w:hAnsi="黑体"/>
          <w:sz w:val="32"/>
          <w:szCs w:val="32"/>
        </w:rPr>
      </w:pPr>
      <w:r>
        <w:rPr>
          <w:rFonts w:hint="eastAsia" w:hAnsi="黑体"/>
          <w:sz w:val="32"/>
          <w:szCs w:val="32"/>
        </w:rPr>
        <w:t>七、一般公共预算财政拨款三公经费支出决算情况说明</w:t>
      </w:r>
    </w:p>
    <w:p>
      <w:pPr>
        <w:pStyle w:val="15"/>
        <w:spacing w:line="56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pStyle w:val="15"/>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“三公”经费财政拨款支出预算为</w:t>
      </w:r>
      <w:r>
        <w:rPr>
          <w:rFonts w:hint="eastAsia" w:ascii="仿宋_GB2312" w:hAnsi="宋体" w:eastAsia="仿宋_GB2312"/>
          <w:sz w:val="32"/>
          <w:szCs w:val="32"/>
          <w:lang w:val="en-US" w:eastAsia="zh-CN"/>
        </w:rPr>
        <w:t>6</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2.69</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44.83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Times New Roman" w:hAnsi="Times New Roman" w:eastAsia="仿宋_GB2312" w:cs="Times New Roman"/>
          <w:sz w:val="32"/>
          <w:szCs w:val="32"/>
          <w:lang w:eastAsia="zh-CN"/>
        </w:rPr>
        <w:t>决算数小于预算数的主要原因是：</w:t>
      </w:r>
      <w:r>
        <w:rPr>
          <w:rFonts w:hint="default" w:ascii="Times New Roman" w:hAnsi="Times New Roman" w:eastAsia="仿宋_GB2312" w:cs="Times New Roman"/>
          <w:sz w:val="32"/>
          <w:szCs w:val="32"/>
          <w:highlight w:val="none"/>
        </w:rPr>
        <w:t>响应政府“例行节约”的号召，压减</w:t>
      </w:r>
      <w:r>
        <w:rPr>
          <w:rFonts w:hint="eastAsia" w:ascii="Times New Roman" w:hAnsi="Times New Roman" w:eastAsia="仿宋_GB2312" w:cs="Times New Roman"/>
          <w:sz w:val="32"/>
          <w:szCs w:val="32"/>
          <w:highlight w:val="none"/>
          <w:lang w:eastAsia="zh-CN"/>
        </w:rPr>
        <w:t>“三公”经费</w:t>
      </w:r>
      <w:r>
        <w:rPr>
          <w:rFonts w:hint="default" w:ascii="Times New Roman" w:hAnsi="Times New Roman" w:eastAsia="仿宋_GB2312" w:cs="Times New Roman"/>
          <w:sz w:val="32"/>
          <w:szCs w:val="32"/>
          <w:highlight w:val="none"/>
        </w:rPr>
        <w:t>开支</w:t>
      </w:r>
      <w:r>
        <w:rPr>
          <w:rFonts w:hint="eastAsia" w:ascii="Times New Roman" w:hAnsi="Times New Roman" w:eastAsia="仿宋_GB2312" w:cs="Times New Roman"/>
          <w:sz w:val="32"/>
          <w:szCs w:val="32"/>
          <w:lang w:eastAsia="zh-CN"/>
        </w:rPr>
        <w:t>。</w:t>
      </w:r>
      <w:r>
        <w:rPr>
          <w:rFonts w:hint="eastAsia" w:ascii="仿宋_GB2312" w:hAnsi="宋体" w:eastAsia="仿宋_GB2312"/>
          <w:sz w:val="32"/>
          <w:szCs w:val="32"/>
        </w:rPr>
        <w:t>其中：</w:t>
      </w:r>
    </w:p>
    <w:p>
      <w:pPr>
        <w:pStyle w:val="15"/>
        <w:spacing w:line="560" w:lineRule="exact"/>
        <w:ind w:firstLine="640" w:firstLineChars="200"/>
        <w:rPr>
          <w:rFonts w:hint="eastAsia" w:ascii="Times New Roman" w:hAnsi="Times New Roman" w:eastAsia="仿宋_GB2312" w:cs="Times New Roman"/>
          <w:sz w:val="32"/>
          <w:szCs w:val="32"/>
          <w:lang w:eastAsia="zh-CN"/>
        </w:rPr>
      </w:pPr>
      <w:r>
        <w:rPr>
          <w:rFonts w:hint="eastAsia" w:ascii="仿宋_GB2312" w:hAnsi="宋体" w:eastAsia="仿宋_GB2312"/>
          <w:sz w:val="32"/>
          <w:szCs w:val="32"/>
        </w:rPr>
        <w:t>因公出国（境）费支出预算为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%，与上年持平</w:t>
      </w:r>
      <w:r>
        <w:rPr>
          <w:rFonts w:hint="eastAsia" w:ascii="Times New Roman" w:hAnsi="Times New Roman" w:eastAsia="仿宋_GB2312" w:cs="Times New Roman"/>
          <w:sz w:val="32"/>
          <w:szCs w:val="32"/>
          <w:lang w:eastAsia="zh-CN"/>
        </w:rPr>
        <w:t>。</w:t>
      </w:r>
    </w:p>
    <w:p>
      <w:pPr>
        <w:pStyle w:val="15"/>
        <w:spacing w:line="560" w:lineRule="exact"/>
        <w:ind w:firstLine="640" w:firstLineChars="200"/>
        <w:rPr>
          <w:rFonts w:hint="eastAsia" w:ascii="Times New Roman" w:hAnsi="Times New Roman" w:eastAsia="仿宋_GB2312" w:cs="Times New Roman"/>
          <w:sz w:val="32"/>
          <w:szCs w:val="32"/>
          <w:lang w:eastAsia="zh-CN"/>
        </w:rPr>
      </w:pPr>
      <w:r>
        <w:rPr>
          <w:rFonts w:hint="eastAsia" w:ascii="仿宋_GB2312" w:hAnsi="宋体" w:eastAsia="仿宋_GB2312"/>
          <w:sz w:val="32"/>
          <w:szCs w:val="32"/>
          <w:lang w:eastAsia="zh-CN"/>
        </w:rPr>
        <w:t>公务接待费</w:t>
      </w:r>
      <w:r>
        <w:rPr>
          <w:rFonts w:hint="eastAsia" w:ascii="仿宋_GB2312" w:hAnsi="宋体" w:eastAsia="仿宋_GB2312"/>
          <w:sz w:val="32"/>
          <w:szCs w:val="32"/>
        </w:rPr>
        <w:t>支出预算为</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0.29</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14.5</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与上年持平</w:t>
      </w:r>
      <w:r>
        <w:rPr>
          <w:rFonts w:hint="eastAsia" w:ascii="仿宋_GB2312" w:hAnsi="宋体" w:eastAsia="仿宋_GB2312"/>
          <w:sz w:val="32"/>
          <w:szCs w:val="32"/>
          <w:lang w:eastAsia="zh-CN"/>
        </w:rPr>
        <w:t>。</w:t>
      </w:r>
      <w:r>
        <w:rPr>
          <w:rFonts w:hint="eastAsia" w:ascii="仿宋_GB2312" w:hAnsi="宋体" w:eastAsia="仿宋_GB2312"/>
          <w:sz w:val="32"/>
          <w:szCs w:val="32"/>
        </w:rPr>
        <w:t>决算数小于预算数的主要原因是</w:t>
      </w:r>
      <w:r>
        <w:rPr>
          <w:rFonts w:hint="default" w:ascii="Times New Roman" w:hAnsi="Times New Roman" w:eastAsia="仿宋_GB2312" w:cs="Times New Roman"/>
          <w:sz w:val="32"/>
          <w:szCs w:val="32"/>
        </w:rPr>
        <w:t>响应政府“例行节约”的号召，压减公务接待相关费用开支</w:t>
      </w:r>
      <w:r>
        <w:rPr>
          <w:rFonts w:hint="eastAsia" w:ascii="Times New Roman" w:hAnsi="Times New Roman" w:eastAsia="仿宋_GB2312" w:cs="Times New Roman"/>
          <w:sz w:val="32"/>
          <w:szCs w:val="32"/>
          <w:lang w:eastAsia="zh-CN"/>
        </w:rPr>
        <w:t>。</w:t>
      </w:r>
    </w:p>
    <w:p>
      <w:pPr>
        <w:pStyle w:val="15"/>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公务用车购置费预算为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%，决算数等于预算数，与上年持平。</w:t>
      </w:r>
    </w:p>
    <w:p>
      <w:pPr>
        <w:pStyle w:val="15"/>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公务用车运行维护费支出预算为</w:t>
      </w:r>
      <w:r>
        <w:rPr>
          <w:rFonts w:hint="eastAsia" w:ascii="仿宋_GB2312" w:hAnsi="宋体" w:eastAsia="仿宋_GB2312"/>
          <w:sz w:val="32"/>
          <w:szCs w:val="32"/>
          <w:lang w:val="en-US" w:eastAsia="zh-CN"/>
        </w:rPr>
        <w:t>4</w:t>
      </w:r>
      <w:r>
        <w:rPr>
          <w:rFonts w:hint="eastAsia" w:ascii="仿宋_GB2312" w:hAnsi="宋体" w:eastAsia="仿宋_GB2312"/>
          <w:sz w:val="32"/>
          <w:szCs w:val="32"/>
        </w:rPr>
        <w:t>万元，支出决算为</w:t>
      </w:r>
      <w:r>
        <w:rPr>
          <w:rFonts w:hint="eastAsia" w:ascii="仿宋_GB2312" w:hAnsi="宋体" w:eastAsia="仿宋_GB2312"/>
          <w:sz w:val="32"/>
          <w:szCs w:val="32"/>
          <w:lang w:val="en-US" w:eastAsia="zh-CN"/>
        </w:rPr>
        <w:t>2.4</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60</w:t>
      </w:r>
      <w:r>
        <w:rPr>
          <w:rFonts w:hint="eastAsia" w:ascii="仿宋_GB2312" w:hAnsi="宋体" w:eastAsia="仿宋_GB2312"/>
          <w:sz w:val="32"/>
          <w:szCs w:val="32"/>
        </w:rPr>
        <w:t>%，决算数小于预算数的主要原因是严格控制公务用车使用，公务用车运行维护费进一步降低，与上年相</w:t>
      </w:r>
      <w:r>
        <w:rPr>
          <w:rFonts w:hint="eastAsia" w:ascii="仿宋_GB2312" w:hAnsi="宋体" w:eastAsia="仿宋_GB2312"/>
          <w:sz w:val="32"/>
          <w:szCs w:val="32"/>
          <w:lang w:eastAsia="zh-CN"/>
        </w:rPr>
        <w:t>持平</w:t>
      </w:r>
      <w:r>
        <w:rPr>
          <w:rFonts w:hint="eastAsia" w:ascii="仿宋_GB2312" w:hAnsi="宋体" w:eastAsia="仿宋_GB2312"/>
          <w:sz w:val="32"/>
          <w:szCs w:val="32"/>
        </w:rPr>
        <w:t>。</w:t>
      </w:r>
    </w:p>
    <w:p>
      <w:pPr>
        <w:pStyle w:val="15"/>
        <w:spacing w:line="560" w:lineRule="exact"/>
        <w:ind w:firstLine="643" w:firstLineChars="200"/>
        <w:rPr>
          <w:rFonts w:ascii="宋体" w:hAnsi="宋体" w:eastAsia="宋体"/>
          <w:b/>
          <w:sz w:val="32"/>
          <w:szCs w:val="32"/>
        </w:rPr>
      </w:pPr>
      <w:r>
        <w:rPr>
          <w:rFonts w:hint="eastAsia" w:ascii="仿宋_GB2312" w:hAnsi="宋体" w:eastAsia="仿宋_GB2312"/>
          <w:b/>
          <w:sz w:val="32"/>
          <w:szCs w:val="32"/>
        </w:rPr>
        <w:t>（二）“三公”经费财政拨款支出决算具体情况说明</w:t>
      </w:r>
    </w:p>
    <w:p>
      <w:pPr>
        <w:pStyle w:val="15"/>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年度“三公”经费财政拨款支出决算中，公务接待费支出决算</w:t>
      </w:r>
      <w:r>
        <w:rPr>
          <w:rFonts w:hint="eastAsia" w:ascii="仿宋_GB2312" w:hAnsi="宋体" w:eastAsia="仿宋_GB2312"/>
          <w:sz w:val="32"/>
          <w:szCs w:val="32"/>
          <w:lang w:val="en-US" w:eastAsia="zh-CN"/>
        </w:rPr>
        <w:t>0.29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10.78</w:t>
      </w:r>
      <w:r>
        <w:rPr>
          <w:rFonts w:hint="eastAsia" w:ascii="仿宋_GB2312" w:hAnsi="宋体" w:eastAsia="仿宋_GB2312"/>
          <w:sz w:val="32"/>
          <w:szCs w:val="32"/>
        </w:rPr>
        <w:t>%,因公出国（境）费支出决算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w:t>
      </w:r>
      <w:r>
        <w:rPr>
          <w:rFonts w:hint="eastAsia" w:ascii="仿宋_GB2312" w:hAnsi="宋体" w:eastAsia="仿宋_GB2312"/>
          <w:sz w:val="32"/>
          <w:szCs w:val="32"/>
        </w:rPr>
        <w:t>%,公务用车购置费及运行维护费支出决算</w:t>
      </w:r>
      <w:r>
        <w:rPr>
          <w:rFonts w:hint="eastAsia" w:ascii="仿宋_GB2312" w:hAnsi="宋体" w:eastAsia="仿宋_GB2312"/>
          <w:sz w:val="32"/>
          <w:szCs w:val="32"/>
          <w:lang w:val="en-US" w:eastAsia="zh-CN"/>
        </w:rPr>
        <w:t>2.4</w:t>
      </w:r>
      <w:r>
        <w:rPr>
          <w:rFonts w:hint="eastAsia" w:ascii="仿宋_GB2312" w:hAnsi="宋体" w:eastAsia="仿宋_GB2312"/>
          <w:sz w:val="32"/>
          <w:szCs w:val="32"/>
        </w:rPr>
        <w:t>万元，</w:t>
      </w:r>
      <w:r>
        <w:rPr>
          <w:rFonts w:hint="eastAsia" w:ascii="仿宋_GB2312" w:hAnsi="宋体" w:eastAsia="仿宋_GB2312"/>
          <w:sz w:val="32"/>
          <w:szCs w:val="32"/>
          <w:lang w:eastAsia="zh-CN"/>
        </w:rPr>
        <w:t>占</w:t>
      </w:r>
      <w:r>
        <w:rPr>
          <w:rFonts w:hint="eastAsia" w:ascii="仿宋_GB2312" w:hAnsi="宋体" w:eastAsia="仿宋_GB2312"/>
          <w:sz w:val="32"/>
          <w:szCs w:val="32"/>
          <w:lang w:val="en-US" w:eastAsia="zh-CN"/>
        </w:rPr>
        <w:t>89.22</w:t>
      </w:r>
      <w:r>
        <w:rPr>
          <w:rFonts w:hint="eastAsia" w:ascii="仿宋_GB2312" w:hAnsi="宋体" w:eastAsia="仿宋_GB2312"/>
          <w:sz w:val="32"/>
          <w:szCs w:val="32"/>
        </w:rPr>
        <w:t>%。其中：</w:t>
      </w:r>
    </w:p>
    <w:p>
      <w:pPr>
        <w:pStyle w:val="15"/>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1、因公出国（境）费支出决算为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万元，全年安排因公出国（境）团组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sz w:val="32"/>
          <w:szCs w:val="32"/>
        </w:rPr>
        <w:t>2、公务接待费支出决算为</w:t>
      </w:r>
      <w:r>
        <w:rPr>
          <w:rFonts w:hint="eastAsia" w:ascii="仿宋_GB2312" w:hAnsi="宋体" w:eastAsia="仿宋_GB2312"/>
          <w:sz w:val="32"/>
          <w:szCs w:val="32"/>
          <w:lang w:val="en-US" w:eastAsia="zh-CN"/>
        </w:rPr>
        <w:t>0.29</w:t>
      </w:r>
      <w:r>
        <w:rPr>
          <w:rFonts w:hint="eastAsia" w:ascii="仿宋_GB2312" w:hAnsi="宋体" w:eastAsia="仿宋_GB2312"/>
          <w:sz w:val="32"/>
          <w:szCs w:val="32"/>
        </w:rPr>
        <w:t>万元，</w:t>
      </w:r>
      <w:r>
        <w:rPr>
          <w:rFonts w:hint="eastAsia" w:ascii="仿宋_GB2312" w:hAnsi="宋体" w:eastAsia="仿宋_GB2312"/>
          <w:color w:val="auto"/>
          <w:sz w:val="32"/>
          <w:szCs w:val="32"/>
        </w:rPr>
        <w:t>全年共接待来访团组</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个、来宾</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人次，主要是</w:t>
      </w:r>
      <w:r>
        <w:rPr>
          <w:rFonts w:hint="default" w:ascii="Times New Roman" w:hAnsi="Times New Roman" w:eastAsia="仿宋_GB2312" w:cs="Times New Roman"/>
          <w:color w:val="auto"/>
          <w:sz w:val="32"/>
          <w:szCs w:val="32"/>
          <w:highlight w:val="none"/>
        </w:rPr>
        <w:t>接待</w:t>
      </w:r>
      <w:r>
        <w:rPr>
          <w:rFonts w:hint="eastAsia" w:ascii="Times New Roman" w:hAnsi="Times New Roman" w:eastAsia="仿宋_GB2312" w:cs="Times New Roman"/>
          <w:color w:val="auto"/>
          <w:sz w:val="32"/>
          <w:szCs w:val="32"/>
          <w:highlight w:val="none"/>
          <w:lang w:eastAsia="zh-CN"/>
        </w:rPr>
        <w:t>三一职院、省社科院、南京高职园等考察团</w:t>
      </w:r>
      <w:r>
        <w:rPr>
          <w:rFonts w:hint="default" w:ascii="Times New Roman" w:hAnsi="Times New Roman" w:eastAsia="仿宋_GB2312" w:cs="Times New Roman"/>
          <w:color w:val="auto"/>
          <w:sz w:val="32"/>
          <w:szCs w:val="32"/>
          <w:highlight w:val="none"/>
        </w:rPr>
        <w:t>学习</w:t>
      </w:r>
      <w:r>
        <w:rPr>
          <w:rFonts w:hint="eastAsia" w:ascii="Times New Roman" w:hAnsi="Times New Roman" w:eastAsia="仿宋_GB2312" w:cs="Times New Roman"/>
          <w:color w:val="auto"/>
          <w:sz w:val="32"/>
          <w:szCs w:val="32"/>
          <w:highlight w:val="none"/>
          <w:lang w:eastAsia="zh-CN"/>
        </w:rPr>
        <w:t>调研职教城</w:t>
      </w:r>
      <w:r>
        <w:rPr>
          <w:rFonts w:hint="default" w:ascii="Times New Roman" w:hAnsi="Times New Roman" w:eastAsia="仿宋_GB2312" w:cs="Times New Roman"/>
          <w:color w:val="auto"/>
          <w:sz w:val="32"/>
          <w:szCs w:val="32"/>
          <w:highlight w:val="none"/>
        </w:rPr>
        <w:t>发生的接待支出</w:t>
      </w:r>
      <w:r>
        <w:rPr>
          <w:rFonts w:hint="eastAsia" w:ascii="仿宋_GB2312" w:hAnsi="宋体" w:eastAsia="仿宋_GB2312"/>
          <w:color w:val="auto"/>
          <w:sz w:val="32"/>
          <w:szCs w:val="32"/>
        </w:rPr>
        <w:t>。</w:t>
      </w:r>
    </w:p>
    <w:p>
      <w:pPr>
        <w:spacing w:line="560" w:lineRule="exact"/>
        <w:ind w:firstLine="800" w:firstLineChars="250"/>
        <w:rPr>
          <w:rFonts w:ascii="仿宋_GB2312" w:hAnsi="宋体" w:eastAsia="仿宋_GB2312" w:cs="黑体"/>
          <w:color w:val="000000"/>
          <w:kern w:val="0"/>
          <w:sz w:val="32"/>
          <w:szCs w:val="32"/>
        </w:rPr>
      </w:pPr>
      <w:r>
        <w:rPr>
          <w:rFonts w:hint="eastAsia" w:ascii="仿宋_GB2312" w:hAnsi="宋体" w:eastAsia="仿宋_GB2312"/>
          <w:sz w:val="32"/>
          <w:szCs w:val="32"/>
        </w:rPr>
        <w:t>3、公务用车购置费及运行维护费支出决算为</w:t>
      </w:r>
      <w:r>
        <w:rPr>
          <w:rFonts w:hint="eastAsia" w:ascii="仿宋_GB2312" w:hAnsi="宋体" w:eastAsia="仿宋_GB2312"/>
          <w:sz w:val="32"/>
          <w:szCs w:val="32"/>
          <w:lang w:val="en-US" w:eastAsia="zh-CN"/>
        </w:rPr>
        <w:t>2.4</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cs="Times New Roman"/>
          <w:sz w:val="32"/>
          <w:szCs w:val="32"/>
        </w:rPr>
        <w:t>未购置公务用车</w:t>
      </w:r>
      <w:r>
        <w:rPr>
          <w:rFonts w:hint="eastAsia" w:ascii="仿宋_GB2312" w:hAnsi="宋体" w:eastAsia="仿宋_GB2312"/>
          <w:color w:val="000000"/>
          <w:sz w:val="32"/>
          <w:szCs w:val="32"/>
        </w:rPr>
        <w:t>。</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2.4</w:t>
      </w:r>
      <w:r>
        <w:rPr>
          <w:rFonts w:hint="eastAsia" w:ascii="仿宋_GB2312" w:hAnsi="宋体" w:eastAsia="仿宋_GB2312"/>
          <w:sz w:val="32"/>
          <w:szCs w:val="32"/>
        </w:rPr>
        <w:t>万元，主</w:t>
      </w:r>
      <w:r>
        <w:rPr>
          <w:rFonts w:hint="eastAsia" w:ascii="仿宋_GB2312" w:hAnsi="宋体" w:eastAsia="仿宋_GB2312" w:cs="Times New Roman"/>
          <w:sz w:val="32"/>
          <w:szCs w:val="32"/>
        </w:rPr>
        <w:t>要是燃油费、维修费、保险费等支出，截止</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年12月31日，我单位开支财政拨款的公务用车保有量为</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pStyle w:val="15"/>
        <w:spacing w:line="560" w:lineRule="exact"/>
        <w:rPr>
          <w:rFonts w:hAnsi="黑体"/>
          <w:sz w:val="32"/>
          <w:szCs w:val="32"/>
        </w:rPr>
      </w:pPr>
      <w:r>
        <w:rPr>
          <w:rFonts w:hint="eastAsia" w:hAnsi="黑体"/>
          <w:sz w:val="32"/>
          <w:szCs w:val="32"/>
        </w:rPr>
        <w:t>八、政府性基金预算收入支出决算情况</w:t>
      </w:r>
    </w:p>
    <w:p>
      <w:pPr>
        <w:pStyle w:val="15"/>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本单位没有政府性基金收入，也没有使用政府性基金安排的支出。</w:t>
      </w:r>
    </w:p>
    <w:p>
      <w:pPr>
        <w:pStyle w:val="15"/>
        <w:spacing w:line="560" w:lineRule="exact"/>
        <w:rPr>
          <w:rFonts w:hAnsi="黑体"/>
          <w:sz w:val="32"/>
          <w:szCs w:val="32"/>
        </w:rPr>
      </w:pPr>
      <w:r>
        <w:rPr>
          <w:rFonts w:hint="eastAsia" w:hAnsi="黑体"/>
          <w:sz w:val="32"/>
          <w:szCs w:val="32"/>
        </w:rPr>
        <w:t>九、国有资本经营预算支出决算情况说明</w:t>
      </w:r>
    </w:p>
    <w:p>
      <w:pPr>
        <w:pStyle w:val="15"/>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本单位没有使用国有资本经营预算安排的支出。</w:t>
      </w:r>
    </w:p>
    <w:p>
      <w:pPr>
        <w:pStyle w:val="15"/>
        <w:spacing w:line="560" w:lineRule="exact"/>
        <w:rPr>
          <w:rFonts w:hAnsi="黑体"/>
          <w:sz w:val="32"/>
          <w:szCs w:val="32"/>
        </w:rPr>
      </w:pPr>
      <w:r>
        <w:rPr>
          <w:rFonts w:hint="eastAsia" w:hAnsi="黑体"/>
          <w:sz w:val="32"/>
          <w:szCs w:val="32"/>
        </w:rPr>
        <w:t>十、机关运行经费支出说明</w:t>
      </w:r>
    </w:p>
    <w:p>
      <w:pPr>
        <w:pStyle w:val="15"/>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机关运行经费是指行政单位和参照公务员法管理的事业单位使用一般公共预算财政拨款安排的基本支出中的日常公用经费支出。本单位为财政补助事业单位,不属于机关运行经费适用范围。</w:t>
      </w:r>
    </w:p>
    <w:p>
      <w:pPr>
        <w:pStyle w:val="15"/>
        <w:spacing w:line="560" w:lineRule="exact"/>
        <w:rPr>
          <w:rFonts w:hAnsi="黑体"/>
          <w:sz w:val="32"/>
          <w:szCs w:val="32"/>
        </w:rPr>
      </w:pPr>
      <w:r>
        <w:rPr>
          <w:rFonts w:hint="eastAsia" w:hAnsi="黑体"/>
          <w:sz w:val="32"/>
          <w:szCs w:val="32"/>
        </w:rPr>
        <w:t>十一、一般性支出情况说明</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年度，会议费年初预算</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万元，支出决算为</w:t>
      </w:r>
      <w:r>
        <w:rPr>
          <w:rFonts w:hint="eastAsia" w:ascii="仿宋_GB2312" w:hAnsi="宋体" w:eastAsia="仿宋_GB2312"/>
          <w:color w:val="auto"/>
          <w:sz w:val="32"/>
          <w:szCs w:val="32"/>
          <w:lang w:val="en-US" w:eastAsia="zh-CN"/>
        </w:rPr>
        <w:t>0.15</w:t>
      </w:r>
      <w:r>
        <w:rPr>
          <w:rFonts w:hint="eastAsia" w:ascii="仿宋_GB2312" w:hAnsi="宋体" w:eastAsia="仿宋_GB2312"/>
          <w:color w:val="auto"/>
          <w:sz w:val="32"/>
          <w:szCs w:val="32"/>
        </w:rPr>
        <w:t>万元，完成年初预算的</w:t>
      </w:r>
      <w:r>
        <w:rPr>
          <w:rFonts w:hint="eastAsia" w:ascii="仿宋_GB2312" w:hAnsi="宋体" w:eastAsia="仿宋_GB2312"/>
          <w:color w:val="auto"/>
          <w:sz w:val="32"/>
          <w:szCs w:val="32"/>
          <w:lang w:val="en-US" w:eastAsia="zh-CN"/>
        </w:rPr>
        <w:t>7.5</w:t>
      </w:r>
      <w:r>
        <w:rPr>
          <w:rFonts w:hint="eastAsia" w:ascii="仿宋_GB2312" w:hAnsi="宋体" w:eastAsia="仿宋_GB2312"/>
          <w:color w:val="auto"/>
          <w:sz w:val="32"/>
          <w:szCs w:val="32"/>
        </w:rPr>
        <w:t>%。</w:t>
      </w:r>
      <w:bookmarkStart w:id="1" w:name="_Hlk144374833"/>
      <w:r>
        <w:rPr>
          <w:rFonts w:hint="eastAsia" w:ascii="仿宋_GB2312" w:hAnsi="宋体" w:eastAsia="仿宋_GB2312"/>
          <w:color w:val="auto"/>
          <w:sz w:val="32"/>
          <w:szCs w:val="32"/>
          <w:lang w:eastAsia="zh-CN"/>
        </w:rPr>
        <w:t>用于召开学习二十大精神会议，人数</w:t>
      </w:r>
      <w:r>
        <w:rPr>
          <w:rFonts w:hint="eastAsia" w:ascii="仿宋_GB2312" w:hAnsi="宋体" w:eastAsia="仿宋_GB2312"/>
          <w:color w:val="auto"/>
          <w:sz w:val="32"/>
          <w:szCs w:val="32"/>
          <w:lang w:val="en-US" w:eastAsia="zh-CN"/>
        </w:rPr>
        <w:t>19</w:t>
      </w:r>
      <w:r>
        <w:rPr>
          <w:rFonts w:hint="eastAsia" w:ascii="仿宋_GB2312" w:hAnsi="宋体" w:eastAsia="仿宋_GB2312"/>
          <w:color w:val="auto"/>
          <w:sz w:val="32"/>
          <w:szCs w:val="32"/>
          <w:lang w:eastAsia="zh-CN"/>
        </w:rPr>
        <w:t>人，经费支出为</w:t>
      </w:r>
      <w:r>
        <w:rPr>
          <w:rFonts w:hint="eastAsia" w:ascii="仿宋_GB2312" w:hAnsi="宋体" w:eastAsia="仿宋_GB2312"/>
          <w:color w:val="auto"/>
          <w:sz w:val="32"/>
          <w:szCs w:val="32"/>
        </w:rPr>
        <w:t>会议场租费</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万元、会务用餐费</w:t>
      </w:r>
      <w:r>
        <w:rPr>
          <w:rFonts w:hint="eastAsia" w:ascii="仿宋_GB2312" w:hAnsi="宋体" w:eastAsia="仿宋_GB2312"/>
          <w:color w:val="auto"/>
          <w:sz w:val="32"/>
          <w:szCs w:val="32"/>
          <w:lang w:val="en-US" w:eastAsia="zh-CN"/>
        </w:rPr>
        <w:t>0.08</w:t>
      </w:r>
      <w:r>
        <w:rPr>
          <w:rFonts w:hint="eastAsia" w:ascii="仿宋_GB2312" w:hAnsi="宋体" w:eastAsia="仿宋_GB2312"/>
          <w:color w:val="auto"/>
          <w:sz w:val="32"/>
          <w:szCs w:val="32"/>
        </w:rPr>
        <w:t>万元、其他费用</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；用于乡村振兴交流会，人数</w:t>
      </w:r>
      <w:r>
        <w:rPr>
          <w:rFonts w:hint="eastAsia" w:ascii="仿宋_GB2312" w:hAnsi="宋体" w:eastAsia="仿宋_GB2312"/>
          <w:color w:val="auto"/>
          <w:sz w:val="32"/>
          <w:szCs w:val="32"/>
          <w:lang w:val="en-US" w:eastAsia="zh-CN"/>
        </w:rPr>
        <w:t>8人，经费支出为</w:t>
      </w:r>
      <w:r>
        <w:rPr>
          <w:rFonts w:hint="eastAsia" w:ascii="仿宋_GB2312" w:hAnsi="宋体" w:eastAsia="仿宋_GB2312"/>
          <w:color w:val="auto"/>
          <w:sz w:val="32"/>
          <w:szCs w:val="32"/>
        </w:rPr>
        <w:t>会议场租费</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万元、其他费用</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会务用餐费</w:t>
      </w:r>
      <w:r>
        <w:rPr>
          <w:rFonts w:hint="eastAsia" w:ascii="仿宋_GB2312" w:hAnsi="宋体" w:eastAsia="仿宋_GB2312"/>
          <w:color w:val="auto"/>
          <w:sz w:val="32"/>
          <w:szCs w:val="32"/>
          <w:lang w:val="en-US" w:eastAsia="zh-CN"/>
        </w:rPr>
        <w:t>0.03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；用于湖南中医药高等专科学校征拆遗留问题现场调度会，人数</w:t>
      </w:r>
      <w:r>
        <w:rPr>
          <w:rFonts w:hint="eastAsia" w:ascii="仿宋_GB2312" w:hAnsi="宋体" w:eastAsia="仿宋_GB2312"/>
          <w:color w:val="auto"/>
          <w:sz w:val="32"/>
          <w:szCs w:val="32"/>
          <w:lang w:val="en-US" w:eastAsia="zh-CN"/>
        </w:rPr>
        <w:t>12人，</w:t>
      </w:r>
      <w:r>
        <w:rPr>
          <w:rFonts w:hint="eastAsia" w:ascii="仿宋_GB2312" w:hAnsi="宋体" w:eastAsia="仿宋_GB2312"/>
          <w:color w:val="auto"/>
          <w:sz w:val="32"/>
          <w:szCs w:val="32"/>
          <w:lang w:eastAsia="zh-CN"/>
        </w:rPr>
        <w:t>经费支出为</w:t>
      </w:r>
      <w:r>
        <w:rPr>
          <w:rFonts w:hint="eastAsia" w:ascii="仿宋_GB2312" w:hAnsi="宋体" w:eastAsia="仿宋_GB2312"/>
          <w:color w:val="auto"/>
          <w:sz w:val="32"/>
          <w:szCs w:val="32"/>
        </w:rPr>
        <w:t>会议场租费</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万元、会务用餐费</w:t>
      </w:r>
      <w:r>
        <w:rPr>
          <w:rFonts w:hint="eastAsia" w:ascii="仿宋_GB2312" w:hAnsi="宋体" w:eastAsia="仿宋_GB2312"/>
          <w:color w:val="auto"/>
          <w:sz w:val="32"/>
          <w:szCs w:val="32"/>
          <w:lang w:val="en-US" w:eastAsia="zh-CN"/>
        </w:rPr>
        <w:t>0.04</w:t>
      </w:r>
      <w:r>
        <w:rPr>
          <w:rFonts w:hint="eastAsia" w:ascii="仿宋_GB2312" w:hAnsi="宋体" w:eastAsia="仿宋_GB2312"/>
          <w:color w:val="auto"/>
          <w:sz w:val="32"/>
          <w:szCs w:val="32"/>
        </w:rPr>
        <w:t>万元、其他费用</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bookmarkEnd w:id="1"/>
      <w:r>
        <w:rPr>
          <w:rFonts w:hint="eastAsia" w:ascii="仿宋_GB2312" w:hAnsi="宋体" w:eastAsia="仿宋_GB2312"/>
          <w:color w:val="auto"/>
          <w:sz w:val="32"/>
          <w:szCs w:val="32"/>
          <w:lang w:val="en-US" w:eastAsia="zh-CN"/>
        </w:rPr>
        <w:t xml:space="preserve">  </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宋体" w:eastAsia="仿宋_GB2312"/>
          <w:color w:val="FF0000"/>
          <w:sz w:val="32"/>
          <w:szCs w:val="32"/>
          <w:lang w:val="en-US"/>
        </w:rPr>
      </w:pPr>
      <w:r>
        <w:rPr>
          <w:rFonts w:hint="eastAsia" w:ascii="仿宋_GB2312" w:hAnsi="宋体" w:eastAsia="仿宋_GB2312"/>
          <w:color w:val="auto"/>
          <w:sz w:val="32"/>
          <w:szCs w:val="32"/>
        </w:rPr>
        <w:t>培训</w:t>
      </w:r>
      <w:r>
        <w:rPr>
          <w:rFonts w:hint="eastAsia" w:ascii="仿宋_GB2312" w:hAnsi="宋体" w:eastAsia="仿宋_GB2312"/>
          <w:color w:val="auto"/>
          <w:sz w:val="32"/>
          <w:szCs w:val="32"/>
          <w:lang w:val="en-US" w:eastAsia="zh-CN"/>
        </w:rPr>
        <w:t>费</w:t>
      </w:r>
      <w:r>
        <w:rPr>
          <w:rFonts w:hint="eastAsia" w:ascii="仿宋_GB2312" w:hAnsi="宋体" w:eastAsia="仿宋_GB2312"/>
          <w:color w:val="auto"/>
          <w:sz w:val="32"/>
          <w:szCs w:val="32"/>
        </w:rPr>
        <w:t>年初预算</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万元，支出决算为</w:t>
      </w:r>
      <w:r>
        <w:rPr>
          <w:rFonts w:hint="eastAsia" w:ascii="仿宋_GB2312" w:hAnsi="宋体" w:eastAsia="仿宋_GB2312"/>
          <w:color w:val="auto"/>
          <w:sz w:val="32"/>
          <w:szCs w:val="32"/>
          <w:lang w:val="en-US" w:eastAsia="zh-CN"/>
        </w:rPr>
        <w:t>0.43</w:t>
      </w:r>
      <w:r>
        <w:rPr>
          <w:rFonts w:hint="eastAsia" w:ascii="仿宋_GB2312" w:hAnsi="宋体" w:eastAsia="仿宋_GB2312"/>
          <w:color w:val="auto"/>
          <w:sz w:val="32"/>
          <w:szCs w:val="32"/>
        </w:rPr>
        <w:t>万元，完成年初预算的</w:t>
      </w:r>
      <w:r>
        <w:rPr>
          <w:rFonts w:hint="eastAsia" w:ascii="仿宋_GB2312" w:hAnsi="宋体" w:eastAsia="仿宋_GB2312"/>
          <w:color w:val="auto"/>
          <w:sz w:val="32"/>
          <w:szCs w:val="32"/>
          <w:lang w:val="en-US" w:eastAsia="zh-CN"/>
        </w:rPr>
        <w:t>21.5</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用于开展事业单位工作人员培训，经费支出为</w:t>
      </w:r>
      <w:r>
        <w:rPr>
          <w:rFonts w:hint="eastAsia" w:ascii="仿宋_GB2312" w:hAnsi="宋体" w:eastAsia="仿宋_GB2312"/>
          <w:color w:val="auto"/>
          <w:sz w:val="32"/>
          <w:szCs w:val="32"/>
          <w:lang w:val="en-US" w:eastAsia="zh-CN"/>
        </w:rPr>
        <w:t>0.38万元，为课程购买费；</w:t>
      </w:r>
      <w:r>
        <w:rPr>
          <w:rFonts w:hint="eastAsia" w:ascii="仿宋_GB2312" w:hAnsi="宋体" w:eastAsia="仿宋_GB2312"/>
          <w:color w:val="auto"/>
          <w:sz w:val="32"/>
          <w:szCs w:val="32"/>
          <w:lang w:eastAsia="zh-CN"/>
        </w:rPr>
        <w:t>用于参与人才工作示范培训班费用</w:t>
      </w:r>
      <w:r>
        <w:rPr>
          <w:rFonts w:hint="eastAsia" w:ascii="仿宋_GB2312" w:hAnsi="宋体" w:eastAsia="仿宋_GB2312"/>
          <w:color w:val="auto"/>
          <w:sz w:val="32"/>
          <w:szCs w:val="32"/>
          <w:lang w:val="en-US" w:eastAsia="zh-CN"/>
        </w:rPr>
        <w:t>0.05万元，为差旅费。</w:t>
      </w:r>
    </w:p>
    <w:p>
      <w:pPr>
        <w:pStyle w:val="15"/>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本单位无举办节庆、晚会、论坛、赛事等活动的预算和开支。</w:t>
      </w:r>
    </w:p>
    <w:p>
      <w:pPr>
        <w:pStyle w:val="15"/>
        <w:spacing w:line="560" w:lineRule="exact"/>
        <w:ind w:firstLine="640" w:firstLineChars="200"/>
        <w:rPr>
          <w:rFonts w:hAnsi="黑体"/>
          <w:sz w:val="32"/>
          <w:szCs w:val="32"/>
        </w:rPr>
      </w:pPr>
      <w:r>
        <w:rPr>
          <w:rFonts w:hint="eastAsia" w:hAnsi="黑体"/>
          <w:sz w:val="32"/>
          <w:szCs w:val="32"/>
        </w:rPr>
        <w:t>十二、政府采购支出说明</w:t>
      </w:r>
    </w:p>
    <w:p>
      <w:pPr>
        <w:pStyle w:val="15"/>
        <w:spacing w:line="560" w:lineRule="exact"/>
        <w:ind w:firstLine="640" w:firstLineChars="200"/>
        <w:rPr>
          <w:rFonts w:hint="eastAsia" w:ascii="仿宋_GB2312" w:hAnsi="宋体" w:eastAsia="仿宋_GB2312"/>
          <w:color w:val="FF0000"/>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年度政府采购支出总额</w:t>
      </w:r>
      <w:r>
        <w:rPr>
          <w:rFonts w:hint="eastAsia" w:ascii="仿宋_GB2312" w:hAnsi="宋体" w:eastAsia="仿宋_GB2312"/>
          <w:sz w:val="32"/>
          <w:szCs w:val="32"/>
          <w:lang w:val="en-US" w:eastAsia="zh-CN"/>
        </w:rPr>
        <w:t>64.35</w:t>
      </w:r>
      <w:r>
        <w:rPr>
          <w:rFonts w:hint="eastAsia" w:ascii="仿宋_GB2312" w:hAnsi="宋体" w:eastAsia="仿宋_GB2312"/>
          <w:sz w:val="32"/>
          <w:szCs w:val="32"/>
        </w:rPr>
        <w:t>万元，其中：政府采购货物支出</w:t>
      </w:r>
      <w:r>
        <w:rPr>
          <w:rFonts w:hint="eastAsia" w:ascii="仿宋_GB2312" w:hAnsi="宋体" w:eastAsia="仿宋_GB2312"/>
          <w:sz w:val="32"/>
          <w:szCs w:val="32"/>
          <w:lang w:val="en-US" w:eastAsia="zh-CN"/>
        </w:rPr>
        <w:t>15.34</w:t>
      </w:r>
      <w:r>
        <w:rPr>
          <w:rFonts w:hint="eastAsia" w:ascii="仿宋_GB2312" w:hAnsi="宋体" w:eastAsia="仿宋_GB2312"/>
          <w:sz w:val="32"/>
          <w:szCs w:val="32"/>
        </w:rPr>
        <w:t>万元、政府采购工程支出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万元、政府采购服务支出</w:t>
      </w:r>
      <w:r>
        <w:rPr>
          <w:rFonts w:hint="eastAsia" w:ascii="仿宋_GB2312" w:hAnsi="宋体" w:eastAsia="仿宋_GB2312"/>
          <w:sz w:val="32"/>
          <w:szCs w:val="32"/>
          <w:lang w:val="en-US" w:eastAsia="zh-CN"/>
        </w:rPr>
        <w:t>49.01</w:t>
      </w:r>
      <w:r>
        <w:rPr>
          <w:rFonts w:hint="eastAsia" w:ascii="仿宋_GB2312" w:hAnsi="宋体" w:eastAsia="仿宋_GB2312"/>
          <w:sz w:val="32"/>
          <w:szCs w:val="32"/>
        </w:rPr>
        <w:t>万元。授予中小企业合同金额</w:t>
      </w:r>
      <w:r>
        <w:rPr>
          <w:rFonts w:hint="eastAsia" w:ascii="仿宋_GB2312" w:hAnsi="宋体" w:eastAsia="仿宋_GB2312"/>
          <w:sz w:val="32"/>
          <w:szCs w:val="32"/>
          <w:lang w:val="en-US" w:eastAsia="zh-CN"/>
        </w:rPr>
        <w:t>64.35</w:t>
      </w:r>
      <w:r>
        <w:rPr>
          <w:rFonts w:hint="eastAsia" w:ascii="仿宋_GB2312" w:hAnsi="宋体" w:eastAsia="仿宋_GB2312"/>
          <w:sz w:val="32"/>
          <w:szCs w:val="32"/>
        </w:rPr>
        <w:t>元，占政府采购支出总额的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%，其中：授予小微企业合同金额</w:t>
      </w:r>
      <w:r>
        <w:rPr>
          <w:rFonts w:hint="eastAsia" w:ascii="仿宋_GB2312" w:hAnsi="宋体" w:eastAsia="仿宋_GB2312"/>
          <w:sz w:val="32"/>
          <w:szCs w:val="32"/>
          <w:lang w:val="en-US" w:eastAsia="zh-CN"/>
        </w:rPr>
        <w:t>64.35</w:t>
      </w:r>
      <w:r>
        <w:rPr>
          <w:rFonts w:hint="eastAsia" w:ascii="仿宋_GB2312" w:hAnsi="宋体" w:eastAsia="仿宋_GB2312"/>
          <w:sz w:val="32"/>
          <w:szCs w:val="32"/>
        </w:rPr>
        <w:t>元，占政府采购支出总额的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pStyle w:val="15"/>
        <w:spacing w:line="560" w:lineRule="exact"/>
        <w:ind w:firstLine="640" w:firstLineChars="200"/>
        <w:rPr>
          <w:rFonts w:hAnsi="黑体"/>
          <w:sz w:val="32"/>
          <w:szCs w:val="32"/>
        </w:rPr>
      </w:pPr>
      <w:r>
        <w:rPr>
          <w:rFonts w:hint="eastAsia" w:hAnsi="黑体"/>
          <w:sz w:val="32"/>
          <w:szCs w:val="32"/>
        </w:rPr>
        <w:t>十三、国有资产占用情况说明</w:t>
      </w:r>
    </w:p>
    <w:p>
      <w:pPr>
        <w:pStyle w:val="15"/>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年12月31日，共有车辆</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辆，其中，机要通信用车</w:t>
      </w:r>
      <w:r>
        <w:rPr>
          <w:rFonts w:hint="eastAsia" w:ascii="仿宋_GB2312" w:hAnsi="宋体" w:eastAsia="仿宋_GB2312"/>
          <w:sz w:val="32"/>
          <w:szCs w:val="32"/>
          <w:lang w:val="en-US" w:eastAsia="zh-CN"/>
        </w:rPr>
        <w:t>1</w:t>
      </w:r>
      <w:r>
        <w:rPr>
          <w:rFonts w:hint="eastAsia" w:ascii="仿宋_GB2312" w:hAnsi="宋体" w:eastAsia="仿宋_GB2312"/>
          <w:sz w:val="32"/>
          <w:szCs w:val="32"/>
        </w:rPr>
        <w:t>辆；单位价值50万元以上通用设备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台（套）；单位价值100万元以上专用设备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hAnsi="黑体"/>
          <w:sz w:val="32"/>
          <w:szCs w:val="32"/>
        </w:rPr>
      </w:pPr>
      <w:r>
        <w:rPr>
          <w:rFonts w:hint="eastAsia" w:hAnsi="黑体"/>
          <w:sz w:val="32"/>
          <w:szCs w:val="32"/>
        </w:rPr>
        <w:t>十四、2021年度预算绩效情况说明</w:t>
      </w:r>
    </w:p>
    <w:p>
      <w:pPr>
        <w:pStyle w:val="15"/>
        <w:spacing w:line="560" w:lineRule="exact"/>
        <w:ind w:firstLine="640" w:firstLineChars="200"/>
        <w:rPr>
          <w:rFonts w:hint="eastAsia" w:ascii="仿宋_GB2312" w:hAnsi="宋体" w:eastAsia="仿宋_GB2312"/>
          <w:sz w:val="32"/>
          <w:szCs w:val="32"/>
          <w:lang w:val="en-US" w:eastAsia="zh-CN"/>
        </w:rPr>
      </w:pPr>
      <w:r>
        <w:rPr>
          <w:rFonts w:hint="default" w:ascii="仿宋_GB2312" w:hAnsi="宋体" w:eastAsia="仿宋_GB2312"/>
          <w:sz w:val="32"/>
          <w:szCs w:val="32"/>
          <w:lang w:val="en-US" w:eastAsia="zh-CN"/>
        </w:rPr>
        <w:t>根据预算绩效管理要求，我部门组织对202</w:t>
      </w: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年度部门整体支出和专项资金实施了全覆盖性的绩效评价，撰写了</w:t>
      </w:r>
      <w:r>
        <w:rPr>
          <w:rFonts w:hint="eastAsia" w:ascii="仿宋_GB2312" w:hAnsi="宋体" w:eastAsia="仿宋_GB2312"/>
          <w:sz w:val="32"/>
          <w:szCs w:val="32"/>
          <w:lang w:val="en-US" w:eastAsia="zh-CN"/>
        </w:rPr>
        <w:t>绩效自评</w:t>
      </w:r>
      <w:r>
        <w:rPr>
          <w:rFonts w:hint="default" w:ascii="仿宋_GB2312" w:hAnsi="宋体" w:eastAsia="仿宋_GB2312"/>
          <w:sz w:val="32"/>
          <w:szCs w:val="32"/>
          <w:lang w:val="en-US" w:eastAsia="zh-CN"/>
        </w:rPr>
        <w:t>报告。202</w:t>
      </w: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年整体支出</w:t>
      </w:r>
      <w:r>
        <w:rPr>
          <w:rFonts w:hint="eastAsia" w:ascii="仿宋_GB2312" w:hAnsi="宋体" w:eastAsia="仿宋_GB2312"/>
          <w:sz w:val="32"/>
          <w:szCs w:val="32"/>
          <w:lang w:val="en-US" w:eastAsia="zh-CN"/>
        </w:rPr>
        <w:t>439.45</w:t>
      </w:r>
      <w:r>
        <w:rPr>
          <w:rFonts w:hint="default" w:ascii="仿宋_GB2312" w:hAnsi="宋体" w:eastAsia="仿宋_GB2312"/>
          <w:sz w:val="32"/>
          <w:szCs w:val="32"/>
          <w:lang w:val="en-US" w:eastAsia="zh-CN"/>
        </w:rPr>
        <w:t>万元，其中：基本支出</w:t>
      </w:r>
      <w:r>
        <w:rPr>
          <w:rFonts w:hint="eastAsia" w:ascii="仿宋_GB2312" w:hAnsi="宋体" w:eastAsia="仿宋_GB2312"/>
          <w:sz w:val="32"/>
          <w:szCs w:val="32"/>
          <w:lang w:val="en-US" w:eastAsia="zh-CN"/>
        </w:rPr>
        <w:t>420.71</w:t>
      </w:r>
      <w:r>
        <w:rPr>
          <w:rFonts w:hint="default" w:ascii="仿宋_GB2312" w:hAnsi="宋体" w:eastAsia="仿宋_GB2312"/>
          <w:sz w:val="32"/>
          <w:szCs w:val="32"/>
          <w:lang w:val="en-US" w:eastAsia="zh-CN"/>
        </w:rPr>
        <w:t>万元，项目支出</w:t>
      </w:r>
      <w:r>
        <w:rPr>
          <w:rFonts w:hint="eastAsia" w:ascii="仿宋_GB2312" w:hAnsi="宋体" w:eastAsia="仿宋_GB2312"/>
          <w:sz w:val="32"/>
          <w:szCs w:val="32"/>
          <w:lang w:val="en-US" w:eastAsia="zh-CN"/>
        </w:rPr>
        <w:t>18.75</w:t>
      </w:r>
      <w:r>
        <w:rPr>
          <w:rFonts w:hint="default" w:ascii="仿宋_GB2312" w:hAnsi="宋体" w:eastAsia="仿宋_GB2312"/>
          <w:sz w:val="32"/>
          <w:szCs w:val="32"/>
          <w:lang w:val="en-US" w:eastAsia="zh-CN"/>
        </w:rPr>
        <w:t>万元</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20</w:t>
      </w:r>
      <w:r>
        <w:rPr>
          <w:rFonts w:hint="eastAsia" w:ascii="仿宋_GB2312" w:hAnsi="宋体" w:eastAsia="仿宋_GB2312"/>
          <w:sz w:val="32"/>
          <w:szCs w:val="32"/>
          <w:lang w:val="en-US" w:eastAsia="zh-CN"/>
        </w:rPr>
        <w:t>23</w:t>
      </w:r>
      <w:r>
        <w:rPr>
          <w:rFonts w:hint="default" w:ascii="仿宋_GB2312" w:hAnsi="宋体" w:eastAsia="仿宋_GB2312"/>
          <w:sz w:val="32"/>
          <w:szCs w:val="32"/>
          <w:lang w:val="en-US" w:eastAsia="zh-CN"/>
        </w:rPr>
        <w:t>年度一般公共预算项目支出</w:t>
      </w:r>
      <w:r>
        <w:rPr>
          <w:rFonts w:hint="eastAsia" w:ascii="仿宋_GB2312" w:hAnsi="宋体" w:eastAsia="仿宋_GB2312"/>
          <w:sz w:val="32"/>
          <w:szCs w:val="32"/>
          <w:lang w:val="en-US" w:eastAsia="zh-CN"/>
        </w:rPr>
        <w:t>涉及</w:t>
      </w:r>
      <w:r>
        <w:rPr>
          <w:rFonts w:hint="default" w:ascii="仿宋_GB2312" w:hAnsi="宋体" w:eastAsia="仿宋_GB2312"/>
          <w:sz w:val="32"/>
          <w:szCs w:val="32"/>
          <w:lang w:val="en-US" w:eastAsia="zh-CN"/>
        </w:rPr>
        <w:t>项目</w:t>
      </w:r>
      <w:r>
        <w:rPr>
          <w:rFonts w:hint="eastAsia" w:ascii="仿宋_GB2312" w:hAnsi="宋体" w:eastAsia="仿宋_GB2312"/>
          <w:sz w:val="32"/>
          <w:szCs w:val="32"/>
          <w:lang w:val="en-US" w:eastAsia="zh-CN"/>
        </w:rPr>
        <w:t>1</w:t>
      </w:r>
      <w:r>
        <w:rPr>
          <w:rFonts w:hint="default" w:ascii="仿宋_GB2312" w:hAnsi="宋体" w:eastAsia="仿宋_GB2312"/>
          <w:sz w:val="32"/>
          <w:szCs w:val="32"/>
          <w:lang w:val="en-US" w:eastAsia="zh-CN"/>
        </w:rPr>
        <w:t>个，涉及资金</w:t>
      </w:r>
      <w:r>
        <w:rPr>
          <w:rFonts w:hint="eastAsia" w:ascii="仿宋_GB2312" w:hAnsi="宋体" w:eastAsia="仿宋_GB2312"/>
          <w:sz w:val="32"/>
          <w:szCs w:val="32"/>
          <w:lang w:val="en-US" w:eastAsia="zh-CN"/>
        </w:rPr>
        <w:t>18.75</w:t>
      </w:r>
      <w:r>
        <w:rPr>
          <w:rFonts w:hint="default" w:ascii="仿宋_GB2312" w:hAnsi="宋体" w:eastAsia="仿宋_GB2312"/>
          <w:sz w:val="32"/>
          <w:szCs w:val="32"/>
          <w:lang w:val="en-US" w:eastAsia="zh-CN"/>
        </w:rPr>
        <w:t>万元，占一般公共预算项目支出总额的</w:t>
      </w:r>
      <w:r>
        <w:rPr>
          <w:rFonts w:hint="eastAsia" w:ascii="仿宋_GB2312" w:hAnsi="宋体" w:eastAsia="仿宋_GB2312"/>
          <w:sz w:val="32"/>
          <w:szCs w:val="32"/>
          <w:lang w:val="en-US" w:eastAsia="zh-CN"/>
        </w:rPr>
        <w:t>100</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w:t>
      </w:r>
    </w:p>
    <w:p>
      <w:pPr>
        <w:pStyle w:val="15"/>
        <w:spacing w:line="560" w:lineRule="exact"/>
        <w:ind w:firstLine="640" w:firstLineChars="20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从评价情况来看，全部完成绩效目标，绩效评价结果</w:t>
      </w:r>
      <w:r>
        <w:rPr>
          <w:rFonts w:hint="eastAsia" w:ascii="仿宋_GB2312" w:hAnsi="宋体" w:eastAsia="仿宋_GB2312"/>
          <w:sz w:val="32"/>
          <w:szCs w:val="32"/>
          <w:lang w:val="en-US" w:eastAsia="zh-CN"/>
        </w:rPr>
        <w:t>为优</w:t>
      </w:r>
      <w:r>
        <w:rPr>
          <w:rFonts w:hint="default" w:ascii="仿宋_GB2312" w:hAnsi="宋体" w:eastAsia="仿宋_GB2312"/>
          <w:sz w:val="32"/>
          <w:szCs w:val="32"/>
          <w:lang w:val="en-US" w:eastAsia="zh-CN"/>
        </w:rPr>
        <w:t>。</w:t>
      </w:r>
    </w:p>
    <w:p>
      <w:pPr>
        <w:pStyle w:val="15"/>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详见附表。</w:t>
      </w:r>
    </w:p>
    <w:p>
      <w:pPr>
        <w:pStyle w:val="15"/>
        <w:spacing w:line="560" w:lineRule="exact"/>
        <w:ind w:firstLine="480" w:firstLineChars="150"/>
        <w:rPr>
          <w:rFonts w:hint="eastAsia" w:ascii="方正小标宋简体" w:eastAsia="方正小标宋简体"/>
          <w:sz w:val="32"/>
          <w:szCs w:val="32"/>
        </w:rPr>
      </w:pPr>
      <w:r>
        <w:rPr>
          <w:rFonts w:hint="eastAsia" w:ascii="仿宋_GB2312" w:hAnsi="宋体" w:eastAsia="仿宋_GB2312"/>
          <w:color w:val="FF0000"/>
          <w:sz w:val="32"/>
          <w:szCs w:val="32"/>
        </w:rPr>
        <w:br w:type="page"/>
      </w:r>
    </w:p>
    <w:p>
      <w:pPr>
        <w:pStyle w:val="15"/>
        <w:jc w:val="both"/>
        <w:rPr>
          <w:sz w:val="72"/>
          <w:szCs w:val="72"/>
        </w:rPr>
      </w:pPr>
    </w:p>
    <w:p>
      <w:pPr>
        <w:pStyle w:val="15"/>
        <w:jc w:val="center"/>
        <w:rPr>
          <w:sz w:val="72"/>
          <w:szCs w:val="72"/>
        </w:rPr>
      </w:pPr>
    </w:p>
    <w:p>
      <w:pPr>
        <w:pStyle w:val="15"/>
        <w:jc w:val="center"/>
        <w:rPr>
          <w:rFonts w:hint="eastAsia"/>
          <w:sz w:val="72"/>
          <w:szCs w:val="72"/>
        </w:rPr>
      </w:pPr>
    </w:p>
    <w:p>
      <w:pPr>
        <w:pStyle w:val="15"/>
        <w:jc w:val="center"/>
        <w:rPr>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第四部分</w:t>
      </w:r>
    </w:p>
    <w:p>
      <w:pPr>
        <w:jc w:val="center"/>
        <w:rPr>
          <w:rFonts w:hint="eastAsia" w:ascii="方正小标宋简体" w:eastAsia="方正小标宋简体" w:cs="黑体"/>
          <w:color w:val="000000"/>
          <w:kern w:val="0"/>
          <w:sz w:val="72"/>
          <w:szCs w:val="72"/>
        </w:rPr>
      </w:pPr>
    </w:p>
    <w:p>
      <w:pPr>
        <w:jc w:val="center"/>
        <w:rPr>
          <w:rFonts w:hint="eastAsia" w:ascii="方正小标宋简体" w:eastAsia="方正小标宋简体" w:cs="黑体"/>
          <w:color w:val="000000"/>
          <w:kern w:val="0"/>
          <w:sz w:val="72"/>
          <w:szCs w:val="72"/>
        </w:rPr>
      </w:pPr>
      <w:r>
        <w:rPr>
          <w:rFonts w:hint="eastAsia" w:ascii="方正小标宋简体" w:eastAsia="方正小标宋简体" w:cs="黑体"/>
          <w:color w:val="000000"/>
          <w:kern w:val="0"/>
          <w:sz w:val="72"/>
          <w:szCs w:val="72"/>
        </w:rPr>
        <w:t>名词解释</w:t>
      </w:r>
    </w:p>
    <w:p>
      <w:pPr>
        <w:spacing w:line="560" w:lineRule="exact"/>
        <w:jc w:val="left"/>
        <w:rPr>
          <w:rFonts w:ascii="仿宋_GB2312" w:hAnsi="宋体" w:eastAsia="仿宋_GB2312" w:cs="黑体"/>
          <w:color w:val="000000"/>
          <w:kern w:val="0"/>
          <w:sz w:val="32"/>
          <w:szCs w:val="32"/>
        </w:rPr>
      </w:pPr>
      <w:r>
        <w:rPr>
          <w:rFonts w:hint="eastAsia" w:ascii="方正小标宋简体" w:eastAsia="方正小标宋简体" w:cs="黑体"/>
          <w:color w:val="000000"/>
          <w:kern w:val="0"/>
          <w:sz w:val="72"/>
          <w:szCs w:val="72"/>
        </w:rPr>
        <w:br w:type="page"/>
      </w:r>
      <w:r>
        <w:rPr>
          <w:rFonts w:hint="eastAsia" w:ascii="方正小标宋简体" w:eastAsia="方正小标宋简体" w:cs="黑体"/>
          <w:color w:val="000000"/>
          <w:kern w:val="0"/>
          <w:sz w:val="72"/>
          <w:szCs w:val="72"/>
        </w:rPr>
        <w:t xml:space="preserve">  </w:t>
      </w:r>
      <w:r>
        <w:rPr>
          <w:rFonts w:hint="eastAsia" w:ascii="仿宋_GB2312" w:hAnsi="宋体" w:eastAsia="仿宋_GB2312" w:cs="黑体"/>
          <w:color w:val="000000"/>
          <w:kern w:val="0"/>
          <w:sz w:val="32"/>
          <w:szCs w:val="32"/>
        </w:rPr>
        <w:t>一、财政拨款收入：指单位从同级财政部门取得的财政预算资金。</w:t>
      </w:r>
    </w:p>
    <w:p>
      <w:pPr>
        <w:spacing w:line="560" w:lineRule="exact"/>
        <w:ind w:firstLine="640" w:firstLineChars="200"/>
        <w:jc w:val="lef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二、事业收入：指事业单位开展专业业务活动及辅助活动取得的收入。</w:t>
      </w:r>
    </w:p>
    <w:p>
      <w:pPr>
        <w:spacing w:line="560" w:lineRule="exact"/>
        <w:ind w:firstLine="640" w:firstLineChars="200"/>
        <w:jc w:val="lef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三、经营收入：指事业单位在专业业务活动及其辅助活动之外开展非独立核算经营活动取得的收入。</w:t>
      </w:r>
    </w:p>
    <w:p>
      <w:pPr>
        <w:spacing w:line="560" w:lineRule="exact"/>
        <w:ind w:firstLine="640" w:firstLineChars="200"/>
        <w:jc w:val="lef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四、其他收入：指单位取得的除上述收入以外的各项收入。</w:t>
      </w:r>
    </w:p>
    <w:p>
      <w:pPr>
        <w:spacing w:line="560" w:lineRule="exact"/>
        <w:ind w:firstLine="640" w:firstLineChars="200"/>
        <w:jc w:val="lef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五、使用非财政拨款结余：指事业单位使用以前年度积累的非财政拨款结余弥补当年收支差额的金额。</w:t>
      </w:r>
    </w:p>
    <w:p>
      <w:pPr>
        <w:spacing w:line="560" w:lineRule="exact"/>
        <w:ind w:firstLine="640" w:firstLineChars="200"/>
        <w:jc w:val="left"/>
        <w:rPr>
          <w:rFonts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六、年初结转和结余：指单位以前年度尚未完成、结转到本年仍按原规定用途继续使用的资金，或项目已完成等产生的结余资金。</w:t>
      </w:r>
    </w:p>
    <w:p>
      <w:pPr>
        <w:spacing w:line="560" w:lineRule="exact"/>
        <w:ind w:firstLine="640" w:firstLineChars="200"/>
        <w:jc w:val="left"/>
        <w:rPr>
          <w:rFonts w:hint="eastAsia"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七、“三公经费”支出：纳入市财政预算管理的“三公经费”，是指用财政拨款安排的因公出国（境）、公务用车购置及运行和公务接待费。其中， 因公出国（境）反映单位公务出国（境）的国际旅费、国外城市间交通费、住宿费、伙食费、培训费、公杂费等支出；公务用车购置及运行费反映单位公务用车车辆购置支出（含车辆购置税）、燃料费、维修费、过路过桥费、保险费等支出；公务接待费反映单位按规定开支的各项公务接待（含外宾接待）支出。</w:t>
      </w:r>
    </w:p>
    <w:p>
      <w:pPr>
        <w:spacing w:line="560" w:lineRule="exact"/>
        <w:ind w:firstLine="640" w:firstLineChars="200"/>
        <w:jc w:val="left"/>
        <w:rPr>
          <w:rFonts w:hint="eastAsia"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t>八、机关运行经费：指为保障行政单位（包括参照公务员法管理的事业单位）运行用于购买货物和服务的各项资金，包括办公费、印刷费、邮电费、差旅费、会议费、日常维修费、专用材料及一般设备购置费、办公用房水电费、取暖费、物业管理费、公务用车运行维护费以及其他费用。</w:t>
      </w:r>
    </w:p>
    <w:p>
      <w:pPr>
        <w:spacing w:line="560" w:lineRule="exact"/>
        <w:ind w:firstLine="640" w:firstLineChars="200"/>
        <w:jc w:val="left"/>
        <w:rPr>
          <w:rFonts w:hint="eastAsia" w:ascii="仿宋_GB2312" w:hAnsi="宋体" w:eastAsia="仿宋_GB2312" w:cs="黑体"/>
          <w:color w:val="000000"/>
          <w:kern w:val="0"/>
          <w:sz w:val="32"/>
          <w:szCs w:val="32"/>
        </w:rPr>
      </w:pPr>
      <w:r>
        <w:rPr>
          <w:rFonts w:hint="eastAsia" w:ascii="仿宋_GB2312" w:hAnsi="宋体" w:eastAsia="仿宋_GB2312" w:cs="黑体"/>
          <w:color w:val="000000"/>
          <w:kern w:val="0"/>
          <w:sz w:val="32"/>
          <w:szCs w:val="32"/>
        </w:rPr>
        <w:br w:type="page"/>
      </w:r>
    </w:p>
    <w:p>
      <w:pPr>
        <w:tabs>
          <w:tab w:val="left" w:pos="7560"/>
        </w:tabs>
        <w:adjustRightInd w:val="0"/>
        <w:snapToGrid w:val="0"/>
        <w:spacing w:line="560" w:lineRule="exact"/>
        <w:jc w:val="left"/>
        <w:rPr>
          <w:rFonts w:hint="eastAsia" w:ascii="仿宋_GB2312" w:hAnsi="宋体" w:eastAsia="仿宋_GB2312" w:cs="黑体"/>
          <w:color w:val="000000"/>
          <w:kern w:val="0"/>
          <w:sz w:val="32"/>
          <w:szCs w:val="32"/>
        </w:rPr>
      </w:pPr>
    </w:p>
    <w:p>
      <w:pPr>
        <w:tabs>
          <w:tab w:val="left" w:pos="7560"/>
        </w:tabs>
        <w:adjustRightInd w:val="0"/>
        <w:snapToGrid w:val="0"/>
        <w:spacing w:line="560" w:lineRule="exact"/>
        <w:jc w:val="left"/>
        <w:rPr>
          <w:rFonts w:hint="eastAsia" w:ascii="仿宋_GB2312" w:hAnsi="宋体" w:eastAsia="仿宋_GB2312" w:cs="黑体"/>
          <w:color w:val="000000"/>
          <w:kern w:val="0"/>
          <w:sz w:val="32"/>
          <w:szCs w:val="3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hint="eastAsia" w:ascii="方正小标宋简体" w:eastAsia="方正小标宋简体"/>
          <w:sz w:val="72"/>
          <w:szCs w:val="72"/>
        </w:rPr>
      </w:pPr>
      <w:r>
        <w:rPr>
          <w:rFonts w:hint="eastAsia" w:ascii="方正小标宋简体" w:eastAsia="方正小标宋简体"/>
          <w:sz w:val="72"/>
          <w:szCs w:val="72"/>
        </w:rPr>
        <w:t>第五部分</w:t>
      </w:r>
    </w:p>
    <w:p>
      <w:pPr>
        <w:jc w:val="center"/>
        <w:rPr>
          <w:rFonts w:hint="eastAsia" w:ascii="方正小标宋简体" w:eastAsia="方正小标宋简体" w:cs="黑体"/>
          <w:color w:val="000000"/>
          <w:kern w:val="0"/>
          <w:sz w:val="72"/>
          <w:szCs w:val="72"/>
        </w:rPr>
      </w:pPr>
    </w:p>
    <w:p>
      <w:pPr>
        <w:jc w:val="center"/>
        <w:rPr>
          <w:rFonts w:hint="eastAsia" w:ascii="方正小标宋简体" w:eastAsia="方正小标宋简体" w:cs="黑体"/>
          <w:color w:val="000000"/>
          <w:kern w:val="0"/>
          <w:sz w:val="72"/>
          <w:szCs w:val="72"/>
        </w:rPr>
      </w:pPr>
      <w:r>
        <w:rPr>
          <w:rFonts w:hint="eastAsia" w:ascii="方正小标宋简体" w:eastAsia="方正小标宋简体" w:cs="黑体"/>
          <w:color w:val="000000"/>
          <w:kern w:val="0"/>
          <w:sz w:val="72"/>
          <w:szCs w:val="72"/>
        </w:rPr>
        <w:t>附件</w:t>
      </w:r>
    </w:p>
    <w:p>
      <w:pPr>
        <w:jc w:val="center"/>
        <w:rPr>
          <w:rFonts w:hint="eastAsia" w:ascii="方正小标宋简体" w:eastAsia="方正小标宋简体"/>
          <w:sz w:val="40"/>
          <w:szCs w:val="32"/>
          <w:lang w:eastAsia="zh-CN"/>
        </w:rPr>
      </w:pPr>
      <w:r>
        <w:rPr>
          <w:rFonts w:hint="eastAsia" w:ascii="方正小标宋简体" w:eastAsia="方正小标宋简体" w:cs="黑体"/>
          <w:color w:val="000000"/>
          <w:kern w:val="0"/>
          <w:sz w:val="72"/>
          <w:szCs w:val="72"/>
        </w:rPr>
        <w:br w:type="page"/>
      </w:r>
      <w:r>
        <w:rPr>
          <w:rFonts w:hint="eastAsia" w:ascii="方正小标宋简体" w:eastAsia="方正小标宋简体"/>
          <w:sz w:val="40"/>
          <w:szCs w:val="32"/>
        </w:rPr>
        <w:t>2023年度</w:t>
      </w:r>
      <w:r>
        <w:rPr>
          <w:rFonts w:hint="eastAsia" w:ascii="方正小标宋简体" w:eastAsia="方正小标宋简体"/>
          <w:sz w:val="40"/>
          <w:szCs w:val="32"/>
          <w:lang w:eastAsia="zh-CN"/>
        </w:rPr>
        <w:t>株洲职业教育科技园管理办公室</w:t>
      </w:r>
    </w:p>
    <w:p>
      <w:pPr>
        <w:jc w:val="center"/>
        <w:rPr>
          <w:rFonts w:hint="eastAsia" w:ascii="方正小标宋简体" w:eastAsia="方正小标宋简体"/>
          <w:sz w:val="40"/>
          <w:szCs w:val="32"/>
        </w:rPr>
      </w:pPr>
      <w:r>
        <w:rPr>
          <w:rFonts w:hint="eastAsia" w:ascii="方正小标宋简体" w:eastAsia="方正小标宋简体"/>
          <w:sz w:val="40"/>
          <w:szCs w:val="32"/>
        </w:rPr>
        <w:t>整体支出绩效自评报告</w:t>
      </w:r>
    </w:p>
    <w:p>
      <w:pPr>
        <w:jc w:val="center"/>
        <w:rPr>
          <w:rFonts w:hint="eastAsia" w:ascii="方正小标宋简体" w:eastAsia="方正小标宋简体"/>
          <w:sz w:val="40"/>
          <w:szCs w:val="32"/>
        </w:rPr>
      </w:pP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一、部门（单位）基本情况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lang w:val="en" w:eastAsia="zh-CN"/>
        </w:rPr>
        <w:t>一</w:t>
      </w: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lang w:val="en" w:eastAsia="zh-CN"/>
        </w:rPr>
        <w:t>主要职能</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按照市委“管总、总管、总统筹”职教园建设发展的要求，管理办立足“管理、服务、协调”职责定位，切实履行园区主管部门责任，主要职责：</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）贯彻执行市委市政府有关株洲职业教育科技园发展的方针政策和规划，负责园区内的规划和管理，统筹协调园区公共设施、院校建设规划和产业发展规划及管理。</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）负责园区共享设施与公共配套设施的管理与维护，对入园机构进行有关管理。</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）负责园区院校职教改革的指导与服务，负责各类职业技能培训的协调和服务。</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）负责统筹协调园区内的招商开发、校企合作、人才交流、成果推介、信息交流等活动。</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）负责协调园区内的安全生产、综合治理、文化、教育、卫生、食品安全等社会事务工作。</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）完成市政府交办的其他工作。</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default" w:ascii="方正楷体_GBK" w:hAnsi="方正楷体_GBK" w:eastAsia="方正楷体_GBK" w:cs="方正楷体_GBK"/>
          <w:sz w:val="32"/>
          <w:szCs w:val="32"/>
          <w:lang w:val="en"/>
        </w:rPr>
      </w:pPr>
      <w:r>
        <w:rPr>
          <w:rFonts w:hint="default" w:ascii="方正楷体_GBK" w:hAnsi="方正楷体_GBK" w:eastAsia="方正楷体_GBK" w:cs="方正楷体_GBK"/>
          <w:sz w:val="32"/>
          <w:szCs w:val="32"/>
          <w:lang w:val="en-US" w:eastAsia="zh-CN"/>
        </w:rPr>
        <w:t>（二）机构设置及人员情况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株洲职业教育科技园管理办公室为市人民政府管理的正处级公益一类事业单位</w:t>
      </w:r>
      <w:r>
        <w:rPr>
          <w:rFonts w:hint="eastAsia" w:ascii="仿宋_GB2312" w:eastAsia="仿宋_GB2312"/>
          <w:sz w:val="32"/>
          <w:szCs w:val="32"/>
          <w:lang w:eastAsia="zh-CN"/>
        </w:rPr>
        <w:t>。</w:t>
      </w:r>
      <w:r>
        <w:rPr>
          <w:rFonts w:hint="eastAsia" w:ascii="仿宋_GB2312" w:eastAsia="仿宋_GB2312"/>
          <w:sz w:val="32"/>
          <w:szCs w:val="32"/>
          <w:lang w:val="en-US" w:eastAsia="zh-CN"/>
        </w:rPr>
        <w:t>内设综合科、发展规划科、科教事业科、社会事务科</w:t>
      </w:r>
      <w:r>
        <w:rPr>
          <w:rFonts w:hint="default" w:ascii="仿宋_GB2312" w:eastAsia="仿宋_GB2312"/>
          <w:sz w:val="32"/>
          <w:szCs w:val="32"/>
          <w:lang w:val="en-US" w:eastAsia="zh-CN"/>
        </w:rPr>
        <w:t>4个科室</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本部门核定编制16人，截止202</w:t>
      </w:r>
      <w:r>
        <w:rPr>
          <w:rFonts w:hint="eastAsia" w:ascii="仿宋_GB2312" w:eastAsia="仿宋_GB2312"/>
          <w:sz w:val="32"/>
          <w:szCs w:val="32"/>
          <w:lang w:val="en-US" w:eastAsia="zh-CN"/>
        </w:rPr>
        <w:t>3</w:t>
      </w:r>
      <w:r>
        <w:rPr>
          <w:rFonts w:hint="default" w:ascii="仿宋_GB2312" w:eastAsia="仿宋_GB2312"/>
          <w:sz w:val="32"/>
          <w:szCs w:val="32"/>
          <w:lang w:val="en-US" w:eastAsia="zh-CN"/>
        </w:rPr>
        <w:t>年12月31日在编人员</w:t>
      </w:r>
      <w:r>
        <w:rPr>
          <w:rFonts w:hint="eastAsia" w:ascii="仿宋_GB2312" w:eastAsia="仿宋_GB2312"/>
          <w:sz w:val="32"/>
          <w:szCs w:val="32"/>
          <w:lang w:val="en-US" w:eastAsia="zh-CN"/>
        </w:rPr>
        <w:t>16</w:t>
      </w:r>
      <w:r>
        <w:rPr>
          <w:rFonts w:hint="default" w:ascii="仿宋_GB2312" w:eastAsia="仿宋_GB2312"/>
          <w:sz w:val="32"/>
          <w:szCs w:val="32"/>
          <w:lang w:val="en-US" w:eastAsia="zh-CN"/>
        </w:rPr>
        <w:t>人，退休人员</w:t>
      </w:r>
      <w:r>
        <w:rPr>
          <w:rFonts w:hint="eastAsia" w:ascii="仿宋_GB2312" w:eastAsia="仿宋_GB2312"/>
          <w:sz w:val="32"/>
          <w:szCs w:val="32"/>
          <w:lang w:val="en-US" w:eastAsia="zh-CN"/>
        </w:rPr>
        <w:t>3</w:t>
      </w:r>
      <w:r>
        <w:rPr>
          <w:rFonts w:hint="default" w:ascii="仿宋_GB2312" w:eastAsia="仿宋_GB2312"/>
          <w:sz w:val="32"/>
          <w:szCs w:val="32"/>
          <w:lang w:val="en-US" w:eastAsia="zh-CN"/>
        </w:rPr>
        <w:t>名，劳务派遣人员</w:t>
      </w:r>
      <w:r>
        <w:rPr>
          <w:rFonts w:hint="eastAsia" w:ascii="仿宋_GB2312" w:eastAsia="仿宋_GB2312"/>
          <w:sz w:val="32"/>
          <w:szCs w:val="32"/>
          <w:lang w:val="en-US" w:eastAsia="zh-CN"/>
        </w:rPr>
        <w:t>3</w:t>
      </w:r>
      <w:r>
        <w:rPr>
          <w:rFonts w:hint="default" w:ascii="仿宋_GB2312" w:eastAsia="仿宋_GB2312"/>
          <w:sz w:val="32"/>
          <w:szCs w:val="32"/>
          <w:lang w:val="en-US" w:eastAsia="zh-CN"/>
        </w:rPr>
        <w:t>名。本单位无下属机构。</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二、一般公共预算支出情况</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（一）基本支出情况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2023年支出439.45万元，其中基本支出420.71万元。</w:t>
      </w:r>
    </w:p>
    <w:p>
      <w:pPr>
        <w:keepNext w:val="0"/>
        <w:keepLines w:val="0"/>
        <w:pageBreakBefore w:val="0"/>
        <w:numPr>
          <w:ilvl w:val="0"/>
          <w:numId w:val="2"/>
        </w:numPr>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项目支出情况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2023年支出439.45万元，其中基本支出18.74万元。</w:t>
      </w:r>
    </w:p>
    <w:p>
      <w:pPr>
        <w:keepNext w:val="0"/>
        <w:keepLines w:val="0"/>
        <w:pageBreakBefore w:val="0"/>
        <w:numPr>
          <w:ilvl w:val="0"/>
          <w:numId w:val="3"/>
        </w:numPr>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default" w:ascii="黑体" w:hAnsi="黑体" w:eastAsia="黑体"/>
          <w:sz w:val="32"/>
          <w:szCs w:val="32"/>
          <w:lang w:val="en-US"/>
        </w:rPr>
      </w:pPr>
      <w:r>
        <w:rPr>
          <w:rFonts w:hint="eastAsia" w:ascii="黑体" w:hAnsi="黑体" w:eastAsia="黑体"/>
          <w:sz w:val="32"/>
          <w:szCs w:val="32"/>
        </w:rPr>
        <w:t>政府性基金预算支出情况</w:t>
      </w:r>
    </w:p>
    <w:p>
      <w:pPr>
        <w:keepNext w:val="0"/>
        <w:keepLines w:val="0"/>
        <w:pageBreakBefore w:val="0"/>
        <w:widowControl w:val="0"/>
        <w:numPr>
          <w:ilvl w:val="0"/>
          <w:numId w:val="0"/>
        </w:numPr>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default" w:ascii="黑体" w:hAnsi="黑体" w:eastAsia="黑体"/>
          <w:sz w:val="32"/>
          <w:szCs w:val="32"/>
          <w:lang w:val="en-US"/>
        </w:rPr>
      </w:pPr>
      <w:r>
        <w:rPr>
          <w:rFonts w:hint="eastAsia" w:ascii="仿宋_GB2312" w:hAnsi="Times New Roman" w:eastAsia="仿宋_GB2312" w:cs="Times New Roman"/>
          <w:kern w:val="2"/>
          <w:sz w:val="32"/>
          <w:szCs w:val="32"/>
          <w:lang w:val="en-US" w:eastAsia="zh-CN" w:bidi="ar-SA"/>
        </w:rPr>
        <w:t>2023年无政府性基金预算支出。</w:t>
      </w:r>
    </w:p>
    <w:p>
      <w:pPr>
        <w:keepNext w:val="0"/>
        <w:keepLines w:val="0"/>
        <w:pageBreakBefore w:val="0"/>
        <w:numPr>
          <w:ilvl w:val="0"/>
          <w:numId w:val="3"/>
        </w:numPr>
        <w:tabs>
          <w:tab w:val="left" w:pos="756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国有资本经营预算支出情况</w:t>
      </w:r>
    </w:p>
    <w:p>
      <w:pPr>
        <w:keepNext w:val="0"/>
        <w:keepLines w:val="0"/>
        <w:pageBreakBefore w:val="0"/>
        <w:widowControl w:val="0"/>
        <w:numPr>
          <w:ilvl w:val="0"/>
          <w:numId w:val="0"/>
        </w:numPr>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仿宋_GB2312" w:hAnsi="Times New Roman" w:eastAsia="仿宋_GB2312" w:cs="Times New Roman"/>
          <w:kern w:val="2"/>
          <w:sz w:val="32"/>
          <w:szCs w:val="32"/>
          <w:lang w:val="en-US" w:eastAsia="zh-CN" w:bidi="ar-SA"/>
        </w:rPr>
        <w:t>2023年无国有资本经营预算支出。</w:t>
      </w:r>
    </w:p>
    <w:p>
      <w:pPr>
        <w:keepNext w:val="0"/>
        <w:keepLines w:val="0"/>
        <w:pageBreakBefore w:val="0"/>
        <w:numPr>
          <w:ilvl w:val="0"/>
          <w:numId w:val="3"/>
        </w:numPr>
        <w:tabs>
          <w:tab w:val="left" w:pos="7560"/>
        </w:tabs>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社会保险基金预算支出情况</w:t>
      </w:r>
    </w:p>
    <w:p>
      <w:pPr>
        <w:pStyle w:val="16"/>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sz w:val="32"/>
          <w:szCs w:val="32"/>
        </w:rPr>
      </w:pPr>
      <w:r>
        <w:rPr>
          <w:rFonts w:hint="eastAsia" w:ascii="仿宋_GB2312" w:hAnsi="Times New Roman" w:eastAsia="仿宋_GB2312" w:cs="Times New Roman"/>
          <w:kern w:val="2"/>
          <w:sz w:val="32"/>
          <w:szCs w:val="32"/>
          <w:lang w:val="en-US" w:eastAsia="zh-CN" w:bidi="ar-SA"/>
        </w:rPr>
        <w:t>2023年无社会保险基金预算支出。</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六、资金使用及绩效情况（包含单位管理的公共专项）</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（一）整体支出绩效情况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推进园区项目建设。对重点项目实施专题调度，其他项目统筹调度。航空技师学院产教融合基地项目部分主体结构、化工职院运动场看台土方工程完工、有色职院新建5号教学实训楼、水竹湖学校、</w:t>
      </w:r>
      <w:r>
        <w:rPr>
          <w:rFonts w:hint="eastAsia" w:ascii="仿宋_GB2312" w:hAnsi="仿宋_GB2312" w:eastAsia="仿宋_GB2312" w:cs="仿宋_GB2312"/>
          <w:sz w:val="32"/>
          <w:szCs w:val="32"/>
          <w:lang w:val="en-US" w:eastAsia="zh-CN"/>
        </w:rPr>
        <w:t>省直中医院云龙分院</w:t>
      </w:r>
      <w:r>
        <w:rPr>
          <w:rFonts w:hint="eastAsia" w:ascii="仿宋_GB2312" w:hAnsi="Times New Roman" w:eastAsia="仿宋_GB2312" w:cs="Times New Roman"/>
          <w:kern w:val="2"/>
          <w:sz w:val="32"/>
          <w:szCs w:val="32"/>
          <w:lang w:val="en-US" w:eastAsia="zh-CN" w:bidi="ar-SA"/>
        </w:rPr>
        <w:t>已完工；铁道职院新校区三期工程、中医高专整体搬迁建设项目</w:t>
      </w:r>
      <w:r>
        <w:rPr>
          <w:rFonts w:hint="eastAsia" w:ascii="仿宋_GB2312" w:hAnsi="仿宋_GB2312" w:eastAsia="仿宋_GB2312" w:cs="仿宋_GB2312"/>
          <w:sz w:val="32"/>
          <w:szCs w:val="32"/>
          <w:lang w:val="en-US" w:eastAsia="zh-CN"/>
        </w:rPr>
        <w:t>进展顺利；</w:t>
      </w:r>
      <w:r>
        <w:rPr>
          <w:rFonts w:hint="eastAsia" w:ascii="仿宋_GB2312" w:hAnsi="Times New Roman" w:eastAsia="仿宋_GB2312" w:cs="Times New Roman"/>
          <w:kern w:val="2"/>
          <w:sz w:val="32"/>
          <w:szCs w:val="32"/>
          <w:lang w:val="en-US" w:eastAsia="zh-CN" w:bidi="ar-SA"/>
        </w:rPr>
        <w:t>大丰学校、秧田湾干渠等项目正有序推进；汽车职院投资800万建成智能网联汽车创新中心；铁道职院成功立项轨道交通装备产教融合中心项目；铁科职院成功立项产教融合、科教融汇中心；</w:t>
      </w:r>
      <w:r>
        <w:rPr>
          <w:rFonts w:hint="eastAsia" w:ascii="仿宋_GB2312" w:hAnsi="仿宋_GB2312" w:eastAsia="仿宋_GB2312" w:cs="仿宋_GB2312"/>
          <w:sz w:val="32"/>
          <w:szCs w:val="32"/>
          <w:lang w:val="en-US" w:eastAsia="zh-CN"/>
        </w:rPr>
        <w:t>汽职院与九郎山集团合作，创新“EPC+运营”模式，启动智慧广场项目建设</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助力高职高专升本。全年提请市委市政府领导专题调度院校升本工作5次，召开相关业务工作会议7次，梳理院校升本困难问题23个，解决院校在不动产权证办理、人才引进、土地征拆等遗留问题18个，专题协调办理各院校请求事项5个。目前，汽车职院已通过省高评委评估，正等待教育部验收，有望成为我省第一所职业本科大学。一是协调解决院校历史遗留问题。协调市委督查室,牵头组织九郎山集团、石峰区、经开区相关单位，解决化工职院一期征拆遗留问题、中医药高专征拆遗留问题、解决铁道职院新校区原居民土地权证注销问题。二是协调解决土地权证办理。组织市资规局、经开区管委会等部门，协调推进汽车职院、化工职院、中医高专、铁道职院、航空学院土地权证办理工作。全年共办理不动产权证174本，共计土地面积3488.27亩、建筑面积109.7万㎡。三是协调引进高层次人次。协调调配增加专任教师编制169个、编外人员员额350个；组织各院校赴北京等地招才引才，组织香港博士团走进职业院校；累计引进硕士超500人，其中博士及高级职称专业技术人才31人。</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深入推进产教融合。一是优化双师工作室建设。积极推进企业大师进校园，校园名师进企业，2023年新增“双师”工作室22个，当前共有“双师工作室”91个。二是推进产业学院建设。全年新增湖南铁科专精特新产业学院等4所产业学院</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三是搭建校企合作平台。立足产业与职教优势，依托高新区、铁道职院、中车株机为牵头院校和企业，成功获批湖南省唯一国家级市域产教联合体；推动汽车职院、铁科职院、中医药高专、化工职院等院校，新建市级校企联合实验室7家。</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加强人才培养服务。一是创新校企对接机制。举办“校企互联直通车”、“制造名城·株洲产教融合沙龙”等活动，搭建校企联合培养人才合作平台，推动园区院校人才培养与企业用工需求紧密结合。二是推动毕业生就业本地化。联合人社等相关部门，组织“民企职教携手促就业”2023年大中城市联合招聘高校毕业生春季专项活动和2023年“打造三个高地 建设制造名城”在株高校专场招聘等多场次招聘活动，2023年园区毕业生毕业去向落实率达91.4%；三是落实人才培养奖励政策。严格落实《湖南九郎山职教科创城校企联合培养技能人才奖励办法》，给予育才留才工作实绩突出及新成立产业学院的院校资金奖励，全年拨付奖金61万元。</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推进园区品牌建设。联合湖南日报、株洲日报、株洲广电等媒体，围绕“湖南九郎山职业教育科创城提质升级”“产教融合”“校园文化”等主题进行一系列宣传报道，全年以“九郎山职教科创城”为关键词的报道近600篇，湖南日报要闻版2篇，《人民日报》《光明日报》、央视《晚间新闻》均对园区进行推介报道。全年承办全国职业院校技能大赛（高职组）轨道车辆技术赛项等大型赛事10余场，九郎山职教科创城的社会关注度和影响力日渐提升。</w:t>
      </w:r>
    </w:p>
    <w:p>
      <w:pPr>
        <w:keepNext w:val="0"/>
        <w:keepLines w:val="0"/>
        <w:pageBreakBefore w:val="0"/>
        <w:widowControl w:val="0"/>
        <w:tabs>
          <w:tab w:val="left" w:pos="7560"/>
        </w:tabs>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构建平安和谐园区。坚持“安全第一、预防为主”的方针，严格落实“五联工作机制”，联合相关部门积极开展平安园区建设工作，每季度组织召开院校长联席会议，每月召开保卫处联席工作会议，重点做好传染病防治、重大赛事活动期间安全保障工作、校园周边安全环境整治、食品药品监督检查、消防应急演练、防范化解社会矛盾风险、公益宣传活动等工作，全年共赴院校督查工作40余次，组织召开各类联席会议25次，及时有效防范化解园区各类风险隐患，园区全年无任何重大安全事故发生。</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（二）项目支出绩效情况</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.年中追加项目“职业教育发展</w:t>
      </w:r>
      <w:r>
        <w:rPr>
          <w:rFonts w:hint="eastAsia" w:ascii="仿宋_GB2312" w:eastAsia="仿宋_GB2312"/>
          <w:sz w:val="32"/>
          <w:szCs w:val="32"/>
          <w:lang w:eastAsia="zh-CN"/>
        </w:rPr>
        <w:t>专项</w:t>
      </w:r>
      <w:r>
        <w:rPr>
          <w:rFonts w:hint="eastAsia" w:ascii="仿宋_GB2312" w:eastAsia="仿宋_GB2312"/>
          <w:sz w:val="32"/>
          <w:szCs w:val="32"/>
        </w:rPr>
        <w:t>”，金额</w:t>
      </w:r>
      <w:r>
        <w:rPr>
          <w:rFonts w:hint="eastAsia" w:ascii="仿宋_GB2312" w:eastAsia="仿宋_GB2312"/>
          <w:sz w:val="32"/>
          <w:szCs w:val="32"/>
          <w:lang w:val="en-US" w:eastAsia="zh-CN"/>
        </w:rPr>
        <w:t>30</w:t>
      </w:r>
      <w:r>
        <w:rPr>
          <w:rFonts w:hint="eastAsia" w:ascii="仿宋_GB2312" w:eastAsia="仿宋_GB2312"/>
          <w:sz w:val="32"/>
          <w:szCs w:val="32"/>
        </w:rPr>
        <w:t>万元，</w:t>
      </w:r>
      <w:r>
        <w:rPr>
          <w:rFonts w:hint="eastAsia" w:ascii="仿宋_GB2312" w:eastAsia="仿宋_GB2312"/>
          <w:sz w:val="32"/>
          <w:szCs w:val="32"/>
          <w:lang w:eastAsia="zh-CN"/>
        </w:rPr>
        <w:t>纳入决算的</w:t>
      </w:r>
      <w:r>
        <w:rPr>
          <w:rFonts w:hint="eastAsia" w:ascii="仿宋_GB2312" w:eastAsia="仿宋_GB2312"/>
          <w:sz w:val="32"/>
          <w:szCs w:val="32"/>
        </w:rPr>
        <w:t>实际支出</w:t>
      </w:r>
      <w:r>
        <w:rPr>
          <w:rFonts w:hint="eastAsia" w:ascii="仿宋_GB2312" w:eastAsia="仿宋_GB2312"/>
          <w:sz w:val="32"/>
          <w:szCs w:val="32"/>
          <w:lang w:val="en-US" w:eastAsia="zh-CN"/>
        </w:rPr>
        <w:t>18.74</w:t>
      </w:r>
      <w:r>
        <w:rPr>
          <w:rFonts w:hint="eastAsia" w:ascii="仿宋_GB2312" w:eastAsia="仿宋_GB2312"/>
          <w:sz w:val="32"/>
          <w:szCs w:val="32"/>
        </w:rPr>
        <w:t>万元，</w:t>
      </w:r>
      <w:r>
        <w:rPr>
          <w:rFonts w:hint="eastAsia" w:ascii="仿宋_GB2312" w:eastAsia="仿宋_GB2312"/>
          <w:sz w:val="32"/>
          <w:szCs w:val="32"/>
          <w:lang w:eastAsia="zh-CN"/>
        </w:rPr>
        <w:t>划拨湖南汽车工程职业学院</w:t>
      </w:r>
      <w:r>
        <w:rPr>
          <w:rFonts w:hint="eastAsia" w:ascii="仿宋_GB2312" w:eastAsia="仿宋_GB2312"/>
          <w:sz w:val="32"/>
          <w:szCs w:val="32"/>
          <w:lang w:val="en-US" w:eastAsia="zh-CN"/>
        </w:rPr>
        <w:t>11万元，</w:t>
      </w:r>
      <w:r>
        <w:rPr>
          <w:rFonts w:hint="eastAsia" w:ascii="仿宋_GB2312" w:eastAsia="仿宋_GB2312"/>
          <w:sz w:val="32"/>
          <w:szCs w:val="32"/>
        </w:rPr>
        <w:t>结余结转</w:t>
      </w:r>
      <w:r>
        <w:rPr>
          <w:rFonts w:hint="eastAsia" w:ascii="仿宋_GB2312" w:eastAsia="仿宋_GB2312"/>
          <w:sz w:val="32"/>
          <w:szCs w:val="32"/>
          <w:lang w:val="en-US" w:eastAsia="zh-CN"/>
        </w:rPr>
        <w:t>0.26</w:t>
      </w:r>
      <w:r>
        <w:rPr>
          <w:rFonts w:hint="eastAsia" w:ascii="仿宋_GB2312" w:eastAsia="仿宋_GB2312"/>
          <w:sz w:val="32"/>
          <w:szCs w:val="32"/>
        </w:rPr>
        <w:t>万元。</w:t>
      </w:r>
      <w:r>
        <w:rPr>
          <w:rFonts w:hint="eastAsia" w:ascii="仿宋_GB2312" w:hAnsi="Times New Roman" w:eastAsia="仿宋_GB2312" w:cs="Times New Roman"/>
          <w:sz w:val="32"/>
          <w:szCs w:val="32"/>
          <w:lang w:val="en-US" w:eastAsia="zh-CN"/>
        </w:rPr>
        <w:t>该项目主要用于支付考察学习山东、四川、重庆、福建等地产教融合经验做法的差旅费、提质升级年度宣传费用、产教融合工作印刷费以及拨付</w:t>
      </w:r>
      <w:r>
        <w:rPr>
          <w:rFonts w:hint="eastAsia" w:ascii="仿宋_GB2312" w:eastAsia="仿宋_GB2312"/>
          <w:sz w:val="32"/>
          <w:szCs w:val="32"/>
          <w:lang w:eastAsia="zh-CN"/>
        </w:rPr>
        <w:t>湖南汽车工程职业学院</w:t>
      </w:r>
      <w:r>
        <w:rPr>
          <w:rFonts w:hint="eastAsia" w:ascii="仿宋_GB2312" w:hAnsi="仿宋_GB2312" w:eastAsia="仿宋_GB2312" w:cs="仿宋_GB2312"/>
          <w:sz w:val="32"/>
          <w:szCs w:val="32"/>
          <w:lang w:val="en-US" w:eastAsia="zh-CN"/>
        </w:rPr>
        <w:t>课题研究经费</w:t>
      </w:r>
      <w:r>
        <w:rPr>
          <w:rFonts w:hint="eastAsia" w:ascii="仿宋_GB2312" w:hAnsi="Times New Roman" w:eastAsia="仿宋_GB2312" w:cs="Times New Roman"/>
          <w:sz w:val="32"/>
          <w:szCs w:val="32"/>
          <w:lang w:val="en-US" w:eastAsia="zh-CN"/>
        </w:rPr>
        <w:t>。</w:t>
      </w:r>
      <w:r>
        <w:rPr>
          <w:rFonts w:hint="eastAsia" w:ascii="仿宋_GB2312" w:eastAsia="仿宋_GB2312"/>
          <w:sz w:val="32"/>
          <w:szCs w:val="32"/>
        </w:rPr>
        <w:t>项目实施及绩效情况如下：</w:t>
      </w:r>
      <w:r>
        <w:rPr>
          <w:rFonts w:hint="eastAsia" w:ascii="仿宋_GB2312" w:eastAsia="仿宋_GB2312"/>
          <w:sz w:val="32"/>
          <w:szCs w:val="32"/>
          <w:lang w:eastAsia="zh-CN"/>
        </w:rPr>
        <w:t>①</w:t>
      </w:r>
      <w:r>
        <w:rPr>
          <w:rFonts w:hint="eastAsia" w:ascii="仿宋_GB2312" w:eastAsia="仿宋_GB2312"/>
          <w:sz w:val="32"/>
          <w:szCs w:val="32"/>
        </w:rPr>
        <w:t>联合株洲广电媒体，引导园区院校积极讲好园区故事、宣传职教声音，围绕“湖南九郎山职业教育科创城提质升级”“产教融合”“校园文化”等主体进行一系列宣传报道。2023年，省市报道园区近600篇，其中，2篇刊登在湖南日报要闻版，《人民日报》《光明日报》、央视《晚间新闻》均对园区进行推介报道。</w:t>
      </w:r>
      <w:r>
        <w:rPr>
          <w:rFonts w:hint="eastAsia" w:ascii="仿宋_GB2312" w:hAnsi="Times New Roman" w:eastAsia="仿宋_GB2312" w:cs="Times New Roman"/>
          <w:sz w:val="32"/>
          <w:szCs w:val="32"/>
          <w:lang w:eastAsia="zh-CN"/>
        </w:rPr>
        <w:t>②主动服务产教融合。</w:t>
      </w:r>
      <w:r>
        <w:rPr>
          <w:rFonts w:hint="default" w:ascii="仿宋_GB2312" w:hAnsi="Times New Roman" w:eastAsia="仿宋_GB2312" w:cs="Times New Roman"/>
          <w:sz w:val="32"/>
          <w:szCs w:val="32"/>
          <w:lang w:val="en" w:eastAsia="zh-CN"/>
        </w:rPr>
        <w:t>组织“制造名城·株洲产教融合沙龙”、“校企互联直通车”活动，搭建校企沟通平台；举办线上线下招聘会、人才对接交流会，引导毕业生本地就业；推动园区院校组建职教集团11个，建成产业学院16个、“双师”工作室91个，新建市级校企联合实验室7家，成功获批湖南省唯一国家级市域产教联合体；园区毕业生去向落实率连续三年在95%左右</w:t>
      </w:r>
      <w:r>
        <w:rPr>
          <w:rFonts w:hint="eastAsia" w:ascii="仿宋_GB2312" w:hAnsi="Times New Roman" w:eastAsia="仿宋_GB2312" w:cs="Times New Roman"/>
          <w:sz w:val="32"/>
          <w:szCs w:val="32"/>
          <w:lang w:val="en" w:eastAsia="zh-CN"/>
        </w:rPr>
        <w:t>。③根据《关于印发〔湖南九郎山职业教育科创城提质升级五年行动方案（2022-2026）〕的通知》（职教城提班〔2022〕1号）和《湖南九郎山职业教育科创城提质升级2023年工作计划》（职教城提班〔2023〕1号）文件要求，通过指标划转的形式拨付湖南汽车工程职业学院</w:t>
      </w:r>
      <w:r>
        <w:rPr>
          <w:rFonts w:hint="eastAsia" w:ascii="仿宋_GB2312" w:hAnsi="仿宋_GB2312" w:eastAsia="仿宋_GB2312" w:cs="仿宋_GB2312"/>
          <w:sz w:val="32"/>
          <w:szCs w:val="32"/>
          <w:lang w:val="en-US" w:eastAsia="zh-CN"/>
        </w:rPr>
        <w:t>课题研究经费11万元。</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七、存在的问题及原因分析</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Times New Roman" w:eastAsia="仿宋_GB2312" w:cs="Times New Roman"/>
          <w:sz w:val="32"/>
          <w:szCs w:val="32"/>
          <w:lang w:val="en"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年初预算公用经费不足以支撑相关项目工作，需要追加项目工作经费，造成项目支出决算数超预算数。</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rPr>
          <w:rFonts w:hint="eastAsia" w:eastAsia="仿宋_GB2312"/>
          <w:sz w:val="32"/>
          <w:szCs w:val="32"/>
          <w:lang w:val="en-US" w:eastAsia="zh-CN"/>
        </w:rPr>
      </w:pPr>
      <w:r>
        <w:rPr>
          <w:rFonts w:hint="eastAsia" w:ascii="仿宋_GB2312" w:eastAsia="仿宋_GB2312"/>
          <w:sz w:val="32"/>
          <w:szCs w:val="32"/>
          <w:lang w:val="en-US" w:eastAsia="zh-CN"/>
        </w:rPr>
        <w:t>2、</w:t>
      </w:r>
      <w:r>
        <w:rPr>
          <w:rFonts w:hint="eastAsia" w:eastAsia="仿宋_GB2312"/>
          <w:sz w:val="32"/>
          <w:szCs w:val="32"/>
          <w:lang w:eastAsia="zh-CN"/>
        </w:rPr>
        <w:t>预算编制科学性有待加强，</w:t>
      </w:r>
      <w:r>
        <w:rPr>
          <w:rFonts w:hint="eastAsia" w:ascii="仿宋_GB2312" w:hAnsi="仿宋_GB2312" w:eastAsia="仿宋_GB2312" w:cs="仿宋_GB2312"/>
          <w:color w:val="000000"/>
          <w:sz w:val="32"/>
          <w:szCs w:val="32"/>
          <w:lang w:eastAsia="zh-CN"/>
        </w:rPr>
        <w:t>在执行过程中，年初预算的基本支出经济科目有少许调整。</w:t>
      </w:r>
    </w:p>
    <w:p>
      <w:pPr>
        <w:keepNext w:val="0"/>
        <w:keepLines w:val="0"/>
        <w:pageBreakBefore w:val="0"/>
        <w:numPr>
          <w:ilvl w:val="0"/>
          <w:numId w:val="4"/>
        </w:numPr>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下一步改进措施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sz w:val="32"/>
          <w:szCs w:val="32"/>
        </w:rPr>
      </w:pPr>
      <w:r>
        <w:rPr>
          <w:rFonts w:hint="default" w:ascii="仿宋_GB2312" w:hAnsi="仿宋_GB2312" w:eastAsia="仿宋_GB2312" w:cs="仿宋_GB2312"/>
          <w:color w:val="000000"/>
          <w:sz w:val="32"/>
          <w:szCs w:val="32"/>
          <w:lang w:val="en-US" w:eastAsia="zh-CN"/>
        </w:rPr>
        <w:t>加强预算编制科学性、合理性。根据年度</w:t>
      </w:r>
      <w:r>
        <w:rPr>
          <w:rFonts w:hint="eastAsia" w:ascii="仿宋_GB2312" w:hAnsi="仿宋_GB2312" w:eastAsia="仿宋_GB2312" w:cs="仿宋_GB2312"/>
          <w:color w:val="000000"/>
          <w:sz w:val="32"/>
          <w:szCs w:val="32"/>
          <w:lang w:val="en-US" w:eastAsia="zh-CN"/>
        </w:rPr>
        <w:t>重点</w:t>
      </w:r>
      <w:r>
        <w:rPr>
          <w:rFonts w:hint="default"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val="en-US" w:eastAsia="zh-CN"/>
        </w:rPr>
        <w:t>，秉持</w:t>
      </w:r>
      <w:r>
        <w:rPr>
          <w:rFonts w:hint="default" w:ascii="仿宋_GB2312" w:hAnsi="仿宋_GB2312" w:eastAsia="仿宋_GB2312" w:cs="仿宋_GB2312"/>
          <w:color w:val="000000"/>
          <w:sz w:val="32"/>
          <w:szCs w:val="32"/>
          <w:lang w:val="en-US" w:eastAsia="zh-CN"/>
        </w:rPr>
        <w:t>“勤俭节约、保障运转”</w:t>
      </w:r>
      <w:r>
        <w:rPr>
          <w:rFonts w:hint="eastAsia" w:ascii="仿宋_GB2312" w:hAnsi="仿宋_GB2312" w:eastAsia="仿宋_GB2312" w:cs="仿宋_GB2312"/>
          <w:color w:val="000000"/>
          <w:sz w:val="32"/>
          <w:szCs w:val="32"/>
          <w:lang w:val="en-US" w:eastAsia="zh-CN"/>
        </w:rPr>
        <w:t>的</w:t>
      </w:r>
      <w:r>
        <w:rPr>
          <w:rFonts w:hint="default" w:ascii="仿宋_GB2312" w:hAnsi="仿宋_GB2312" w:eastAsia="仿宋_GB2312" w:cs="仿宋_GB2312"/>
          <w:color w:val="000000"/>
          <w:sz w:val="32"/>
          <w:szCs w:val="32"/>
          <w:lang w:val="en-US" w:eastAsia="zh-CN"/>
        </w:rPr>
        <w:t>原则进行预算编制。编制范围尽可能的全面,不漏项</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进一步提高预算编制的科学性、合理性、严谨性和可控性。</w:t>
      </w:r>
      <w:r>
        <w:rPr>
          <w:rFonts w:hint="eastAsia" w:ascii="仿宋_GB2312" w:hAnsi="仿宋_GB2312" w:eastAsia="仿宋_GB2312" w:cs="仿宋_GB2312"/>
          <w:color w:val="000000"/>
          <w:sz w:val="32"/>
          <w:szCs w:val="32"/>
          <w:lang w:val="en-US" w:eastAsia="zh-CN"/>
        </w:rPr>
        <w:t>同时，要</w:t>
      </w:r>
      <w:r>
        <w:rPr>
          <w:rFonts w:hint="default" w:ascii="仿宋_GB2312" w:hAnsi="Times New Roman" w:eastAsia="仿宋_GB2312" w:cs="Times New Roman"/>
          <w:sz w:val="32"/>
          <w:szCs w:val="32"/>
          <w:lang w:val="en-US" w:eastAsia="zh-CN"/>
        </w:rPr>
        <w:t>加强预算绩效管理，提高绩效管理责任意识，强化绩效管理运用。</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九、部门整体支出绩效自评结果拟应用和公开情况</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部门整体支出和项目支出绩效自评结果将于每年</w:t>
      </w:r>
      <w:r>
        <w:rPr>
          <w:rFonts w:hint="eastAsia" w:ascii="仿宋_GB2312" w:eastAsia="仿宋_GB2312"/>
          <w:sz w:val="32"/>
          <w:szCs w:val="32"/>
          <w:lang w:val="en-US" w:eastAsia="zh-CN"/>
        </w:rPr>
        <w:t>6月30日前在单位门户网站进行公开。</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附件：1. 2023年度部门整体支出绩效评价基础数据表</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2. 2023年度部门整体支出绩效自评表</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1600" w:firstLineChars="500"/>
        <w:textAlignment w:val="auto"/>
        <w:rPr>
          <w:rFonts w:hint="eastAsia" w:ascii="仿宋_GB2312" w:eastAsia="仿宋_GB2312"/>
          <w:sz w:val="32"/>
          <w:szCs w:val="32"/>
        </w:rPr>
      </w:pPr>
      <w:r>
        <w:rPr>
          <w:rFonts w:hint="eastAsia" w:ascii="仿宋_GB2312" w:eastAsia="仿宋_GB2312"/>
          <w:sz w:val="32"/>
          <w:szCs w:val="32"/>
        </w:rPr>
        <w:t>3. 2023年度项目支出绩效自评表</w:t>
      </w:r>
    </w:p>
    <w:p>
      <w:pPr>
        <w:keepNext w:val="0"/>
        <w:keepLines w:val="0"/>
        <w:pageBreakBefore w:val="0"/>
        <w:tabs>
          <w:tab w:val="left" w:pos="7560"/>
        </w:tabs>
        <w:kinsoku/>
        <w:wordWrap/>
        <w:overflowPunct/>
        <w:topLinePunct w:val="0"/>
        <w:autoSpaceDE/>
        <w:autoSpaceDN/>
        <w:bidi w:val="0"/>
        <w:adjustRightInd w:val="0"/>
        <w:snapToGrid w:val="0"/>
        <w:spacing w:line="540" w:lineRule="exact"/>
        <w:ind w:firstLine="1600" w:firstLineChars="500"/>
        <w:textAlignment w:val="auto"/>
        <w:rPr>
          <w:rFonts w:hint="eastAsia" w:ascii="仿宋_GB2312" w:eastAsia="仿宋_GB2312"/>
          <w:sz w:val="32"/>
          <w:szCs w:val="32"/>
        </w:rPr>
      </w:pPr>
    </w:p>
    <w:p>
      <w:pPr>
        <w:tabs>
          <w:tab w:val="left" w:pos="7560"/>
        </w:tabs>
        <w:adjustRightInd w:val="0"/>
        <w:snapToGrid w:val="0"/>
        <w:spacing w:line="560" w:lineRule="exact"/>
        <w:rPr>
          <w:rFonts w:hint="eastAsia" w:ascii="仿宋_GB2312" w:eastAsia="仿宋_GB2312"/>
          <w:sz w:val="32"/>
          <w:szCs w:val="32"/>
        </w:rPr>
      </w:pPr>
    </w:p>
    <w:p>
      <w:pPr>
        <w:tabs>
          <w:tab w:val="left" w:pos="7560"/>
        </w:tabs>
        <w:adjustRightInd w:val="0"/>
        <w:snapToGrid w:val="0"/>
        <w:spacing w:line="560" w:lineRule="exact"/>
        <w:rPr>
          <w:rFonts w:hint="eastAsia" w:ascii="仿宋_GB2312" w:eastAsia="仿宋_GB2312"/>
          <w:sz w:val="32"/>
          <w:szCs w:val="32"/>
        </w:rPr>
      </w:pPr>
    </w:p>
    <w:p>
      <w:pPr>
        <w:spacing w:after="120" w:afterLines="50" w:line="600" w:lineRule="exact"/>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20" w:afterLines="50" w:line="570" w:lineRule="exact"/>
        <w:jc w:val="center"/>
        <w:textAlignment w:val="auto"/>
        <w:rPr>
          <w:rFonts w:hint="eastAsia" w:ascii="方正大标宋简体" w:eastAsia="方正大标宋简体"/>
          <w:sz w:val="36"/>
          <w:szCs w:val="36"/>
        </w:rPr>
      </w:pPr>
      <w:r>
        <w:rPr>
          <w:rFonts w:hint="eastAsia" w:ascii="方正大标宋简体" w:eastAsia="方正大标宋简体"/>
          <w:sz w:val="36"/>
          <w:szCs w:val="36"/>
        </w:rPr>
        <w:t>2023年度</w:t>
      </w:r>
      <w:r>
        <w:rPr>
          <w:rFonts w:hint="eastAsia" w:ascii="方正大标宋简体" w:eastAsia="方正大标宋简体"/>
          <w:sz w:val="36"/>
          <w:szCs w:val="36"/>
          <w:lang w:eastAsia="zh-CN"/>
        </w:rPr>
        <w:t>株洲职业教育科技园管理办公室</w:t>
      </w:r>
      <w:r>
        <w:rPr>
          <w:rFonts w:hint="eastAsia" w:ascii="方正大标宋简体" w:eastAsia="方正大标宋简体"/>
          <w:sz w:val="36"/>
          <w:szCs w:val="36"/>
        </w:rPr>
        <w:t>整体支出</w:t>
      </w:r>
    </w:p>
    <w:p>
      <w:pPr>
        <w:keepNext w:val="0"/>
        <w:keepLines w:val="0"/>
        <w:pageBreakBefore w:val="0"/>
        <w:widowControl w:val="0"/>
        <w:kinsoku/>
        <w:wordWrap/>
        <w:overflowPunct/>
        <w:topLinePunct w:val="0"/>
        <w:autoSpaceDE/>
        <w:autoSpaceDN/>
        <w:bidi w:val="0"/>
        <w:adjustRightInd/>
        <w:snapToGrid/>
        <w:spacing w:after="120" w:afterLines="50" w:line="570" w:lineRule="exact"/>
        <w:jc w:val="center"/>
        <w:textAlignment w:val="auto"/>
        <w:rPr>
          <w:rFonts w:hint="eastAsia" w:ascii="方正大标宋简体" w:eastAsia="方正大标宋简体"/>
          <w:sz w:val="24"/>
        </w:rPr>
      </w:pPr>
      <w:r>
        <w:rPr>
          <w:rFonts w:hint="eastAsia" w:ascii="方正大标宋简体" w:eastAsia="方正大标宋简体"/>
          <w:sz w:val="36"/>
          <w:szCs w:val="36"/>
        </w:rPr>
        <w:t>绩效评价基础数据表</w:t>
      </w:r>
    </w:p>
    <w:tbl>
      <w:tblPr>
        <w:tblStyle w:val="11"/>
        <w:tblW w:w="9831" w:type="dxa"/>
        <w:jc w:val="center"/>
        <w:tblLayout w:type="fixed"/>
        <w:tblCellMar>
          <w:top w:w="0" w:type="dxa"/>
          <w:left w:w="108" w:type="dxa"/>
          <w:bottom w:w="0" w:type="dxa"/>
          <w:right w:w="108" w:type="dxa"/>
        </w:tblCellMar>
      </w:tblPr>
      <w:tblGrid>
        <w:gridCol w:w="3354"/>
        <w:gridCol w:w="1189"/>
        <w:gridCol w:w="849"/>
        <w:gridCol w:w="1129"/>
        <w:gridCol w:w="1111"/>
        <w:gridCol w:w="1081"/>
        <w:gridCol w:w="1118"/>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2023年实际在职人数</w:t>
            </w:r>
          </w:p>
        </w:tc>
        <w:tc>
          <w:tcPr>
            <w:tcW w:w="2199"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16</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16</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100%</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2022年决算数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2023年预算数</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b/>
                <w:bCs/>
                <w:sz w:val="20"/>
                <w:szCs w:val="20"/>
              </w:rPr>
            </w:pPr>
            <w:r>
              <w:rPr>
                <w:rFonts w:hint="eastAsia" w:ascii="仿宋_GB2312" w:eastAsia="仿宋_GB2312"/>
                <w:b/>
                <w:bCs/>
                <w:sz w:val="20"/>
                <w:szCs w:val="20"/>
              </w:rPr>
              <w:t>2023年决算数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rPr>
              <w:t>2.9</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　</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6</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2.69</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rPr>
              <w:t>2.4</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4</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2.4</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rPr>
              <w:t>2.4</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4</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2.4</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rPr>
              <w:t>0.55</w:t>
            </w:r>
            <w:r>
              <w:rPr>
                <w:rFonts w:hint="eastAsia" w:ascii="仿宋_GB2312" w:hAnsi="仿宋_GB2312" w:eastAsia="仿宋_GB2312" w:cs="仿宋_GB2312"/>
                <w:sz w:val="21"/>
                <w:szCs w:val="21"/>
              </w:rPr>
              <w:t>　</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2</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0.29</w:t>
            </w:r>
            <w:r>
              <w:rPr>
                <w:rFonts w:hint="eastAsia" w:ascii="仿宋_GB2312" w:eastAsia="仿宋_GB2312"/>
                <w:sz w:val="20"/>
                <w:szCs w:val="20"/>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79.94</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rPr>
            </w:pPr>
            <w:r>
              <w:rPr>
                <w:rFonts w:hint="default" w:ascii="仿宋_GB2312" w:eastAsia="仿宋_GB2312"/>
                <w:sz w:val="20"/>
                <w:szCs w:val="20"/>
                <w:lang w:val="en-US" w:eastAsia="zh-CN"/>
              </w:rPr>
              <w:t>30</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18.74</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rPr>
              <w:t>40</w:t>
            </w:r>
            <w:r>
              <w:rPr>
                <w:rFonts w:hint="eastAsia" w:ascii="仿宋_GB2312" w:hAnsi="仿宋_GB2312" w:eastAsia="仿宋_GB2312" w:cs="仿宋_GB2312"/>
                <w:sz w:val="21"/>
                <w:szCs w:val="21"/>
              </w:rPr>
              <w:t>　</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39.94</w:t>
            </w:r>
            <w:r>
              <w:rPr>
                <w:rFonts w:hint="eastAsia" w:ascii="仿宋_GB2312" w:eastAsia="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rPr>
            </w:pPr>
            <w:r>
              <w:rPr>
                <w:rFonts w:hint="default" w:ascii="仿宋_GB2312" w:eastAsia="仿宋_GB2312"/>
                <w:sz w:val="20"/>
                <w:szCs w:val="20"/>
                <w:lang w:val="en-US" w:eastAsia="zh-CN"/>
              </w:rPr>
              <w:t>30</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18.74</w:t>
            </w:r>
            <w:r>
              <w:rPr>
                <w:rFonts w:hint="eastAsia" w:ascii="仿宋_GB2312" w:eastAsia="仿宋_GB2312"/>
                <w:sz w:val="20"/>
                <w:szCs w:val="20"/>
              </w:rPr>
              <w:t>　</w:t>
            </w:r>
          </w:p>
        </w:tc>
      </w:tr>
      <w:tr>
        <w:tblPrEx>
          <w:tblCellMar>
            <w:top w:w="0" w:type="dxa"/>
            <w:left w:w="108" w:type="dxa"/>
            <w:bottom w:w="0" w:type="dxa"/>
            <w:right w:w="108" w:type="dxa"/>
          </w:tblCellMar>
        </w:tblPrEx>
        <w:trPr>
          <w:trHeight w:val="26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rPr>
              <w:t>职业发展教育专项经费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eastAsia="zh-CN"/>
              </w:rPr>
              <w:t>19.94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30</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18.74</w:t>
            </w:r>
          </w:p>
        </w:tc>
      </w:tr>
      <w:tr>
        <w:tblPrEx>
          <w:tblCellMar>
            <w:top w:w="0" w:type="dxa"/>
            <w:left w:w="108" w:type="dxa"/>
            <w:bottom w:w="0" w:type="dxa"/>
            <w:right w:w="108" w:type="dxa"/>
          </w:tblCellMar>
        </w:tblPrEx>
        <w:trPr>
          <w:trHeight w:val="37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1050" w:firstLineChars="500"/>
              <w:jc w:val="left"/>
              <w:rPr>
                <w:rFonts w:hint="eastAsia" w:ascii="仿宋_GB2312" w:eastAsia="仿宋_GB2312"/>
                <w:sz w:val="20"/>
                <w:szCs w:val="20"/>
              </w:rPr>
            </w:pPr>
            <w:r>
              <w:rPr>
                <w:rFonts w:hint="eastAsia" w:ascii="仿宋_GB2312" w:hAnsi="仿宋_GB2312" w:eastAsia="仿宋_GB2312" w:cs="仿宋_GB2312"/>
                <w:sz w:val="21"/>
                <w:szCs w:val="21"/>
              </w:rPr>
              <w:t>教育经费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hAnsi="仿宋_GB2312" w:eastAsia="仿宋_GB2312" w:cs="仿宋_GB2312"/>
                <w:sz w:val="21"/>
                <w:szCs w:val="21"/>
                <w:lang w:val="en-US" w:eastAsia="zh-CN"/>
              </w:rPr>
              <w:t>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eastAsia="zh-CN"/>
              </w:rPr>
            </w:pP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rPr>
              <w:t>101.6</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152.43</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136.60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rPr>
              <w:t>45.28</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50.53</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66.26</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rPr>
              <w:t>7.38</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11.22</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7.25</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rPr>
              <w:t>1.3</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3</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0.58</w:t>
            </w: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rPr>
              <w:t>65.2</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lang w:val="en-US" w:eastAsia="zh-CN"/>
              </w:rPr>
              <w:t>72.32</w:t>
            </w: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eastAsia="仿宋_GB2312"/>
                <w:sz w:val="20"/>
                <w:szCs w:val="20"/>
                <w:lang w:val="en-US"/>
              </w:rPr>
            </w:pPr>
            <w:r>
              <w:rPr>
                <w:rFonts w:hint="eastAsia" w:ascii="仿宋_GB2312" w:eastAsia="仿宋_GB2312"/>
                <w:sz w:val="20"/>
                <w:szCs w:val="20"/>
                <w:lang w:val="en-US" w:eastAsia="zh-CN"/>
              </w:rPr>
              <w:t>64.35</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　</w:t>
            </w:r>
          </w:p>
        </w:tc>
        <w:tc>
          <w:tcPr>
            <w:tcW w:w="2199"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trHeight w:val="705"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楼堂馆所控制情况</w:t>
            </w:r>
          </w:p>
          <w:p>
            <w:pPr>
              <w:widowControl/>
              <w:spacing w:line="360" w:lineRule="exact"/>
              <w:jc w:val="center"/>
              <w:rPr>
                <w:rFonts w:hint="eastAsia" w:ascii="仿宋_GB2312" w:eastAsia="仿宋_GB2312"/>
                <w:sz w:val="20"/>
                <w:szCs w:val="20"/>
              </w:rPr>
            </w:pPr>
            <w:r>
              <w:rPr>
                <w:rFonts w:hint="eastAsia" w:ascii="仿宋_GB2312" w:eastAsia="仿宋_GB2312"/>
                <w:sz w:val="20"/>
                <w:szCs w:val="20"/>
              </w:rPr>
              <w:t>（2023年完工项目）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批复规模</w:t>
            </w:r>
          </w:p>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w:t>
            </w:r>
            <w:r>
              <w:rPr>
                <w:rFonts w:hint="eastAsia" w:ascii="仿宋_GB2312"/>
                <w:bCs/>
                <w:sz w:val="20"/>
                <w:szCs w:val="20"/>
              </w:rPr>
              <w:t>㎡</w:t>
            </w:r>
            <w:r>
              <w:rPr>
                <w:rFonts w:hint="eastAsia" w:ascii="仿宋_GB2312" w:eastAsia="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实际规模（</w:t>
            </w:r>
            <w:r>
              <w:rPr>
                <w:rFonts w:hint="eastAsia" w:ascii="仿宋_GB2312"/>
                <w:bCs/>
                <w:sz w:val="20"/>
                <w:szCs w:val="20"/>
              </w:rPr>
              <w:t>㎡</w:t>
            </w:r>
            <w:r>
              <w:rPr>
                <w:rFonts w:hint="eastAsia" w:ascii="仿宋_GB2312" w:eastAsia="仿宋_GB2312"/>
                <w:bCs/>
                <w:sz w:val="20"/>
                <w:szCs w:val="20"/>
              </w:rPr>
              <w:t>）</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实际投资（万元）</w:t>
            </w:r>
          </w:p>
        </w:tc>
        <w:tc>
          <w:tcPr>
            <w:tcW w:w="1118"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sz w:val="20"/>
                <w:szCs w:val="20"/>
              </w:rPr>
            </w:pPr>
            <w:r>
              <w:rPr>
                <w:rFonts w:hint="eastAsia" w:ascii="仿宋_GB2312" w:eastAsia="仿宋_GB2312"/>
                <w:bCs/>
                <w:sz w:val="20"/>
                <w:szCs w:val="20"/>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w:t>
            </w:r>
          </w:p>
        </w:tc>
        <w:tc>
          <w:tcPr>
            <w:tcW w:w="111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eastAsia="仿宋_GB2312"/>
                <w:sz w:val="20"/>
                <w:szCs w:val="20"/>
              </w:rPr>
            </w:pPr>
            <w:r>
              <w:rPr>
                <w:rFonts w:hint="eastAsia" w:ascii="仿宋_GB2312" w:eastAsia="仿宋_GB2312"/>
                <w:sz w:val="20"/>
                <w:szCs w:val="20"/>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厉行节约保障措施</w:t>
            </w:r>
          </w:p>
        </w:tc>
        <w:tc>
          <w:tcPr>
            <w:tcW w:w="6477"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eastAsia="仿宋_GB2312"/>
                <w:sz w:val="20"/>
                <w:szCs w:val="20"/>
              </w:rPr>
            </w:pPr>
            <w:r>
              <w:rPr>
                <w:rFonts w:hint="eastAsia" w:ascii="仿宋_GB2312" w:eastAsia="仿宋_GB2312"/>
                <w:sz w:val="20"/>
                <w:szCs w:val="20"/>
              </w:rPr>
              <w:t>　</w:t>
            </w:r>
          </w:p>
        </w:tc>
      </w:tr>
    </w:tbl>
    <w:p>
      <w:pPr>
        <w:widowControl/>
        <w:spacing w:line="400" w:lineRule="exact"/>
        <w:jc w:val="left"/>
        <w:rPr>
          <w:rFonts w:hint="eastAsia" w:ascii="仿宋_GB2312" w:eastAsia="仿宋_GB2312"/>
          <w:sz w:val="22"/>
        </w:rPr>
      </w:pPr>
      <w:r>
        <w:rPr>
          <w:rFonts w:hint="eastAsia" w:ascii="仿宋_GB2312" w:eastAsia="仿宋_GB2312"/>
          <w:sz w:val="22"/>
        </w:rPr>
        <w:t>说明：“项目支出”需要填报基本支出以外的所有项目支出情况，“公用经费”填报基本支出中的一般商品和服务支出。</w:t>
      </w:r>
    </w:p>
    <w:p>
      <w:pPr>
        <w:tabs>
          <w:tab w:val="left" w:pos="7560"/>
        </w:tabs>
        <w:adjustRightInd w:val="0"/>
        <w:snapToGrid w:val="0"/>
        <w:spacing w:line="560" w:lineRule="exact"/>
        <w:rPr>
          <w:rFonts w:hint="eastAsia" w:ascii="仿宋_GB2312" w:eastAsia="仿宋_GB2312"/>
          <w:sz w:val="32"/>
          <w:szCs w:val="32"/>
        </w:rPr>
      </w:pPr>
      <w:r>
        <w:rPr>
          <w:rFonts w:hint="eastAsia" w:ascii="仿宋_GB2312" w:eastAsia="仿宋_GB2312"/>
          <w:sz w:val="22"/>
        </w:rPr>
        <w:t>填表人：</w:t>
      </w:r>
      <w:r>
        <w:rPr>
          <w:rFonts w:hint="eastAsia" w:ascii="仿宋_GB2312" w:eastAsia="仿宋_GB2312"/>
          <w:sz w:val="22"/>
          <w:lang w:val="en-US" w:eastAsia="zh-CN"/>
        </w:rPr>
        <w:t xml:space="preserve">   </w:t>
      </w:r>
      <w:r>
        <w:rPr>
          <w:rFonts w:hint="eastAsia" w:ascii="仿宋_GB2312" w:eastAsia="仿宋_GB2312"/>
          <w:sz w:val="22"/>
        </w:rPr>
        <w:t xml:space="preserve">  填报日期：</w:t>
      </w:r>
      <w:r>
        <w:rPr>
          <w:rFonts w:hint="eastAsia" w:ascii="仿宋_GB2312" w:eastAsia="仿宋_GB2312"/>
          <w:sz w:val="22"/>
          <w:lang w:val="en-US" w:eastAsia="zh-CN"/>
        </w:rPr>
        <w:t>2024.04.23</w:t>
      </w:r>
      <w:r>
        <w:rPr>
          <w:rFonts w:hint="eastAsia" w:ascii="仿宋_GB2312" w:eastAsia="仿宋_GB2312"/>
          <w:sz w:val="22"/>
        </w:rPr>
        <w:t xml:space="preserve">  联系电话：</w:t>
      </w:r>
      <w:r>
        <w:rPr>
          <w:rFonts w:hint="eastAsia" w:ascii="仿宋_GB2312" w:eastAsia="仿宋_GB2312"/>
          <w:sz w:val="22"/>
          <w:lang w:val="en-US" w:eastAsia="zh-CN"/>
        </w:rPr>
        <w:t xml:space="preserve">  </w:t>
      </w:r>
      <w:r>
        <w:rPr>
          <w:rFonts w:hint="eastAsia" w:ascii="仿宋_GB2312" w:eastAsia="仿宋_GB2312"/>
          <w:sz w:val="22"/>
        </w:rPr>
        <w:t xml:space="preserve"> 单位负责人签字</w:t>
      </w:r>
      <w:r>
        <w:rPr>
          <w:rFonts w:hint="eastAsia" w:ascii="仿宋_GB2312" w:eastAsia="仿宋_GB2312"/>
          <w:sz w:val="22"/>
          <w:lang w:eastAsia="zh-CN"/>
        </w:rPr>
        <w:t>：</w:t>
      </w:r>
    </w:p>
    <w:p>
      <w:pPr>
        <w:widowControl/>
        <w:spacing w:line="400" w:lineRule="exact"/>
        <w:jc w:val="left"/>
        <w:rPr>
          <w:rFonts w:ascii="黑体" w:hAnsi="黑体" w:eastAsia="黑体"/>
          <w:sz w:val="32"/>
          <w:szCs w:val="32"/>
        </w:rPr>
      </w:pPr>
    </w:p>
    <w:p>
      <w:pPr>
        <w:widowControl/>
        <w:spacing w:line="400" w:lineRule="exact"/>
        <w:jc w:val="left"/>
        <w:rPr>
          <w:rFonts w:ascii="黑体" w:hAnsi="黑体" w:eastAsia="黑体"/>
          <w:sz w:val="32"/>
          <w:szCs w:val="32"/>
        </w:rPr>
      </w:pPr>
    </w:p>
    <w:p>
      <w:pPr>
        <w:widowControl/>
        <w:spacing w:line="400" w:lineRule="exact"/>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widowControl/>
        <w:spacing w:after="120" w:afterLines="50"/>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2023年度部门（单位）整体支出绩效自评表</w:t>
      </w:r>
    </w:p>
    <w:tbl>
      <w:tblPr>
        <w:tblStyle w:val="11"/>
        <w:tblW w:w="10079" w:type="dxa"/>
        <w:jc w:val="center"/>
        <w:tblLayout w:type="fixed"/>
        <w:tblCellMar>
          <w:top w:w="0" w:type="dxa"/>
          <w:left w:w="108" w:type="dxa"/>
          <w:bottom w:w="0" w:type="dxa"/>
          <w:right w:w="108" w:type="dxa"/>
        </w:tblCellMar>
      </w:tblPr>
      <w:tblGrid>
        <w:gridCol w:w="1080"/>
        <w:gridCol w:w="1029"/>
        <w:gridCol w:w="1085"/>
        <w:gridCol w:w="1270"/>
        <w:gridCol w:w="1158"/>
        <w:gridCol w:w="1987"/>
        <w:gridCol w:w="825"/>
        <w:gridCol w:w="838"/>
        <w:gridCol w:w="807"/>
      </w:tblGrid>
      <w:tr>
        <w:tblPrEx>
          <w:tblCellMar>
            <w:top w:w="0" w:type="dxa"/>
            <w:left w:w="108" w:type="dxa"/>
            <w:bottom w:w="0" w:type="dxa"/>
            <w:right w:w="108" w:type="dxa"/>
          </w:tblCellMar>
        </w:tblPrEx>
        <w:trPr>
          <w:trHeight w:val="437" w:hRule="atLeast"/>
          <w:jc w:val="center"/>
        </w:trPr>
        <w:tc>
          <w:tcPr>
            <w:tcW w:w="3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市级预算部门（单位）名称</w:t>
            </w:r>
          </w:p>
        </w:tc>
        <w:tc>
          <w:tcPr>
            <w:tcW w:w="688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lang w:eastAsia="zh-CN"/>
              </w:rPr>
              <w:t>株洲职业教育科技园管理办公室</w:t>
            </w: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334"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年度预</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算申请</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年初预算数</w:t>
            </w:r>
          </w:p>
        </w:tc>
        <w:tc>
          <w:tcPr>
            <w:tcW w:w="115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全年预算数</w:t>
            </w:r>
          </w:p>
        </w:tc>
        <w:tc>
          <w:tcPr>
            <w:tcW w:w="198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全年执行数</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分值</w:t>
            </w:r>
          </w:p>
        </w:tc>
        <w:tc>
          <w:tcPr>
            <w:tcW w:w="83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执行率</w:t>
            </w:r>
          </w:p>
        </w:tc>
        <w:tc>
          <w:tcPr>
            <w:tcW w:w="80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sz w:val="20"/>
                <w:szCs w:val="20"/>
              </w:rPr>
              <w:t>得分</w:t>
            </w:r>
          </w:p>
        </w:tc>
      </w:tr>
      <w:tr>
        <w:tblPrEx>
          <w:tblCellMar>
            <w:top w:w="0" w:type="dxa"/>
            <w:left w:w="108" w:type="dxa"/>
            <w:bottom w:w="0" w:type="dxa"/>
            <w:right w:w="108" w:type="dxa"/>
          </w:tblCellMar>
        </w:tblPrEx>
        <w:trPr>
          <w:trHeight w:val="358"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eastAsia="仿宋_GB2312"/>
                <w:sz w:val="20"/>
                <w:szCs w:val="20"/>
              </w:rPr>
            </w:pPr>
            <w:r>
              <w:rPr>
                <w:rFonts w:hint="eastAsia" w:ascii="仿宋_GB2312" w:eastAsia="仿宋_GB2312"/>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eastAsia="zh-CN"/>
              </w:rPr>
            </w:pPr>
            <w:r>
              <w:rPr>
                <w:rFonts w:hint="default" w:ascii="仿宋_GB2312" w:eastAsia="仿宋_GB2312"/>
                <w:sz w:val="20"/>
                <w:szCs w:val="20"/>
                <w:lang w:val="en-US" w:eastAsia="zh-CN"/>
              </w:rPr>
              <w:t>431.64</w:t>
            </w:r>
          </w:p>
        </w:tc>
        <w:tc>
          <w:tcPr>
            <w:tcW w:w="1158"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469.32</w:t>
            </w:r>
          </w:p>
        </w:tc>
        <w:tc>
          <w:tcPr>
            <w:tcW w:w="198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eastAsia="zh-CN"/>
              </w:rPr>
            </w:pPr>
            <w:r>
              <w:rPr>
                <w:rFonts w:hint="default" w:ascii="仿宋_GB2312" w:eastAsia="仿宋_GB2312"/>
                <w:sz w:val="20"/>
                <w:szCs w:val="20"/>
                <w:lang w:val="en-US" w:eastAsia="zh-CN"/>
              </w:rPr>
              <w:t>439.45</w:t>
            </w:r>
          </w:p>
        </w:tc>
        <w:tc>
          <w:tcPr>
            <w:tcW w:w="82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rPr>
            </w:pPr>
            <w:r>
              <w:rPr>
                <w:rFonts w:hint="default" w:ascii="仿宋_GB2312" w:eastAsia="仿宋_GB2312"/>
                <w:sz w:val="20"/>
                <w:szCs w:val="20"/>
                <w:lang w:val="en-US"/>
              </w:rPr>
              <w:t>10</w:t>
            </w:r>
          </w:p>
        </w:tc>
        <w:tc>
          <w:tcPr>
            <w:tcW w:w="838"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93</w:t>
            </w:r>
            <w:r>
              <w:rPr>
                <w:rFonts w:hint="default" w:ascii="仿宋_GB2312" w:eastAsia="仿宋_GB2312"/>
                <w:sz w:val="20"/>
                <w:szCs w:val="20"/>
                <w:lang w:val="en-US" w:eastAsia="zh-CN"/>
              </w:rPr>
              <w:t>.64</w:t>
            </w:r>
            <w:r>
              <w:rPr>
                <w:rFonts w:hint="eastAsia" w:ascii="仿宋_GB2312" w:eastAsia="仿宋_GB2312"/>
                <w:sz w:val="20"/>
                <w:szCs w:val="20"/>
                <w:lang w:val="en-US" w:eastAsia="zh-CN"/>
              </w:rPr>
              <w:t>%</w:t>
            </w:r>
          </w:p>
        </w:tc>
        <w:tc>
          <w:tcPr>
            <w:tcW w:w="80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eastAsia="仿宋_GB2312"/>
                <w:sz w:val="20"/>
                <w:szCs w:val="20"/>
                <w:lang w:val="en-US" w:eastAsia="zh-CN"/>
              </w:rPr>
            </w:pPr>
            <w:r>
              <w:rPr>
                <w:rFonts w:hint="default" w:ascii="仿宋_GB2312" w:eastAsia="仿宋_GB2312"/>
                <w:sz w:val="20"/>
                <w:szCs w:val="20"/>
                <w:lang w:val="en-US"/>
              </w:rPr>
              <w:t>9.</w:t>
            </w:r>
            <w:r>
              <w:rPr>
                <w:rFonts w:hint="eastAsia" w:ascii="仿宋_GB2312" w:eastAsia="仿宋_GB2312"/>
                <w:sz w:val="20"/>
                <w:szCs w:val="20"/>
                <w:lang w:val="en-US" w:eastAsia="zh-CN"/>
              </w:rPr>
              <w:t>3</w:t>
            </w:r>
            <w:r>
              <w:rPr>
                <w:rFonts w:hint="default" w:ascii="仿宋_GB2312" w:eastAsia="仿宋_GB2312"/>
                <w:sz w:val="20"/>
                <w:szCs w:val="20"/>
                <w:lang w:val="en-US" w:eastAsia="zh-CN"/>
              </w:rPr>
              <w:t>6</w:t>
            </w:r>
          </w:p>
        </w:tc>
      </w:tr>
      <w:tr>
        <w:tblPrEx>
          <w:tblCellMar>
            <w:top w:w="0" w:type="dxa"/>
            <w:left w:w="108" w:type="dxa"/>
            <w:bottom w:w="0" w:type="dxa"/>
            <w:right w:w="108" w:type="dxa"/>
          </w:tblCellMar>
        </w:tblPrEx>
        <w:trPr>
          <w:trHeight w:val="418"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按收入性质分：</w:t>
            </w:r>
          </w:p>
        </w:tc>
        <w:tc>
          <w:tcPr>
            <w:tcW w:w="44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按支出性质分：</w:t>
            </w:r>
          </w:p>
        </w:tc>
      </w:tr>
      <w:tr>
        <w:tblPrEx>
          <w:tblCellMar>
            <w:top w:w="0" w:type="dxa"/>
            <w:left w:w="108" w:type="dxa"/>
            <w:bottom w:w="0" w:type="dxa"/>
            <w:right w:w="108" w:type="dxa"/>
          </w:tblCellMar>
        </w:tblPrEx>
        <w:trPr>
          <w:trHeight w:val="406"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eastAsia="zh-CN"/>
              </w:rPr>
            </w:pPr>
            <w:r>
              <w:rPr>
                <w:rFonts w:hint="eastAsia" w:ascii="仿宋_GB2312" w:eastAsia="仿宋_GB2312"/>
                <w:color w:val="000000"/>
                <w:sz w:val="20"/>
                <w:szCs w:val="20"/>
              </w:rPr>
              <w:t xml:space="preserve">  其中：  一般公共预算：</w:t>
            </w:r>
            <w:r>
              <w:rPr>
                <w:rFonts w:hint="eastAsia" w:ascii="仿宋_GB2312" w:eastAsia="仿宋_GB2312"/>
                <w:color w:val="000000"/>
                <w:sz w:val="20"/>
                <w:szCs w:val="20"/>
                <w:lang w:val="en-US" w:eastAsia="zh-CN"/>
              </w:rPr>
              <w:t>469.32</w:t>
            </w:r>
          </w:p>
        </w:tc>
        <w:tc>
          <w:tcPr>
            <w:tcW w:w="44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rPr>
            </w:pPr>
            <w:r>
              <w:rPr>
                <w:rFonts w:hint="eastAsia" w:ascii="仿宋_GB2312" w:eastAsia="仿宋_GB2312"/>
                <w:color w:val="000000"/>
                <w:sz w:val="20"/>
                <w:szCs w:val="20"/>
              </w:rPr>
              <w:t>其中：基本支出：</w:t>
            </w:r>
            <w:r>
              <w:rPr>
                <w:rFonts w:hint="default" w:ascii="仿宋_GB2312" w:eastAsia="仿宋_GB2312"/>
                <w:color w:val="000000"/>
                <w:sz w:val="20"/>
                <w:szCs w:val="20"/>
                <w:lang w:val="en-US"/>
              </w:rPr>
              <w:t>420.7</w:t>
            </w:r>
          </w:p>
        </w:tc>
      </w:tr>
      <w:tr>
        <w:tblPrEx>
          <w:tblCellMar>
            <w:top w:w="0" w:type="dxa"/>
            <w:left w:w="108" w:type="dxa"/>
            <w:bottom w:w="0" w:type="dxa"/>
            <w:right w:w="108" w:type="dxa"/>
          </w:tblCellMar>
        </w:tblPrEx>
        <w:trPr>
          <w:trHeight w:val="43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eastAsia="仿宋_GB2312"/>
                <w:color w:val="000000"/>
                <w:sz w:val="20"/>
                <w:szCs w:val="20"/>
              </w:rPr>
            </w:pPr>
            <w:r>
              <w:rPr>
                <w:rFonts w:hint="eastAsia" w:ascii="仿宋_GB2312" w:eastAsia="仿宋_GB2312"/>
                <w:color w:val="000000"/>
                <w:sz w:val="20"/>
                <w:szCs w:val="20"/>
              </w:rPr>
              <w:t>政府性基金拨款：</w:t>
            </w:r>
          </w:p>
        </w:tc>
        <w:tc>
          <w:tcPr>
            <w:tcW w:w="4457"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rPr>
              <w:t>项目支出：</w:t>
            </w:r>
            <w:r>
              <w:rPr>
                <w:rFonts w:hint="default" w:ascii="仿宋_GB2312" w:eastAsia="仿宋_GB2312"/>
                <w:color w:val="000000"/>
                <w:sz w:val="20"/>
                <w:szCs w:val="20"/>
                <w:lang w:val="en-US"/>
              </w:rPr>
              <w:t>18.7</w:t>
            </w:r>
            <w:r>
              <w:rPr>
                <w:rFonts w:hint="eastAsia" w:ascii="仿宋_GB2312" w:eastAsia="仿宋_GB2312"/>
                <w:color w:val="000000"/>
                <w:sz w:val="20"/>
                <w:szCs w:val="20"/>
                <w:lang w:val="en-US" w:eastAsia="zh-CN"/>
              </w:rPr>
              <w:t>5</w:t>
            </w:r>
          </w:p>
        </w:tc>
      </w:tr>
      <w:tr>
        <w:tblPrEx>
          <w:tblCellMar>
            <w:top w:w="0" w:type="dxa"/>
            <w:left w:w="108" w:type="dxa"/>
            <w:bottom w:w="0" w:type="dxa"/>
            <w:right w:w="108" w:type="dxa"/>
          </w:tblCellMar>
        </w:tblPrEx>
        <w:trPr>
          <w:trHeight w:val="3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纳入专户管理的非税收入拨款：</w:t>
            </w:r>
          </w:p>
        </w:tc>
        <w:tc>
          <w:tcPr>
            <w:tcW w:w="44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372"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eastAsia="仿宋_GB2312"/>
                <w:color w:val="000000"/>
                <w:sz w:val="20"/>
                <w:szCs w:val="20"/>
              </w:rPr>
            </w:pPr>
            <w:r>
              <w:rPr>
                <w:rFonts w:hint="eastAsia" w:ascii="仿宋_GB2312" w:eastAsia="仿宋_GB2312"/>
                <w:color w:val="000000"/>
                <w:sz w:val="20"/>
                <w:szCs w:val="20"/>
              </w:rPr>
              <w:t>其他资金：</w:t>
            </w:r>
          </w:p>
        </w:tc>
        <w:tc>
          <w:tcPr>
            <w:tcW w:w="445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3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年度总体目标</w:t>
            </w:r>
          </w:p>
        </w:tc>
        <w:tc>
          <w:tcPr>
            <w:tcW w:w="45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预期目标</w:t>
            </w:r>
          </w:p>
        </w:tc>
        <w:tc>
          <w:tcPr>
            <w:tcW w:w="445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实际完成情况　</w:t>
            </w:r>
          </w:p>
        </w:tc>
      </w:tr>
      <w:tr>
        <w:tblPrEx>
          <w:tblCellMar>
            <w:top w:w="0" w:type="dxa"/>
            <w:left w:w="108" w:type="dxa"/>
            <w:bottom w:w="0" w:type="dxa"/>
            <w:right w:w="108" w:type="dxa"/>
          </w:tblCellMar>
        </w:tblPrEx>
        <w:trPr>
          <w:trHeight w:val="602"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4542"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1、持续开展“匠心党建”品牌建设工作，加大宣传推广力度，提高“匠心党建”品牌知名度。2、进一步擦亮株洲职业教育名片，继续加强湖南九郎山职教科创城宣传阵地建设，加强微信公众号和网站的建设力度和推广力度，定期出刊《职教动态》，高质量、高层次宣传园区亮点特色，打响湖南职业教育品牌。3、深化产教融合，推进园区产业学院、社区学院、双师工作室建设；发挥职业教育讲师团效用，为园区院校、企业、社区授课服务；探索园区师生人才培养及发展平台，开展园区人才相关工作；开展园区院校就业创业活动；开展赛事、沙龙、论坛等活动，丰富政府、学校、企业沟通渠道。4、落实《湖南职业教育科创城提质升级五年行动方案（2022-2026）》要求，完成湖南职业教育科创城提质升级实施专班安排的工作任务。5、协调督促园区相关院校抓好新校区、产教融合基地等重点项目建设；协调有关单位加快完善交通路网、大丰学校建设等基础设施建设；协调推进智慧广场东南角市图书馆新馆和湖南汽车工程职院产教融合基地项目建设。6、打造文明和谐平安园区，做好综治维稳、安全、法治宣传、创文创卫及城市管理、文明校园、禁毒、健康、反诈等工作，完善人防、物防、技防、消防、心防“五防”建设。　</w:t>
            </w:r>
          </w:p>
        </w:tc>
        <w:tc>
          <w:tcPr>
            <w:tcW w:w="4457" w:type="dxa"/>
            <w:gridSpan w:val="4"/>
            <w:tcBorders>
              <w:top w:val="single" w:color="auto" w:sz="4" w:space="0"/>
              <w:left w:val="nil"/>
              <w:bottom w:val="single" w:color="auto" w:sz="4" w:space="0"/>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仿宋_GB2312" w:eastAsia="仿宋_GB2312"/>
                <w:color w:val="000000"/>
                <w:sz w:val="20"/>
                <w:szCs w:val="20"/>
                <w:lang w:val="en-US"/>
              </w:rPr>
            </w:pPr>
            <w:r>
              <w:rPr>
                <w:rFonts w:hint="default" w:ascii="仿宋_GB2312" w:hAnsi="Times New Roman" w:eastAsia="仿宋_GB2312" w:cs="Times New Roman"/>
                <w:color w:val="000000"/>
                <w:kern w:val="2"/>
                <w:sz w:val="20"/>
                <w:szCs w:val="20"/>
                <w:lang w:val="en-US" w:eastAsia="zh-CN" w:bidi="ar-SA"/>
              </w:rPr>
              <w:t>1</w:t>
            </w:r>
            <w:r>
              <w:rPr>
                <w:rFonts w:hint="eastAsia" w:ascii="仿宋_GB2312" w:hAnsi="Times New Roman" w:eastAsia="仿宋_GB2312" w:cs="Times New Roman"/>
                <w:color w:val="000000"/>
                <w:kern w:val="2"/>
                <w:sz w:val="20"/>
                <w:szCs w:val="20"/>
                <w:lang w:val="en-US" w:eastAsia="zh-CN" w:bidi="ar-SA"/>
              </w:rPr>
              <w:t>、</w:t>
            </w:r>
            <w:r>
              <w:rPr>
                <w:rFonts w:hint="default" w:ascii="仿宋_GB2312" w:hAnsi="Times New Roman" w:eastAsia="仿宋_GB2312" w:cs="Times New Roman"/>
                <w:color w:val="000000"/>
                <w:kern w:val="2"/>
                <w:sz w:val="20"/>
                <w:szCs w:val="20"/>
                <w:lang w:val="en-US" w:eastAsia="zh-CN" w:bidi="ar-SA"/>
              </w:rPr>
              <w:t>深化园区党建工作，打响党建品牌，实现园区党建与业务工作同频共振、互促共进，更好引领推动园区职业教育发展</w:t>
            </w:r>
            <w:r>
              <w:rPr>
                <w:rFonts w:hint="eastAsia" w:ascii="仿宋_GB2312" w:hAnsi="Times New Roman" w:eastAsia="仿宋_GB2312" w:cs="Times New Roman"/>
                <w:color w:val="000000"/>
                <w:kern w:val="2"/>
                <w:sz w:val="20"/>
                <w:szCs w:val="20"/>
                <w:lang w:val="en-US" w:eastAsia="zh-CN" w:bidi="ar-SA"/>
              </w:rPr>
              <w:t>；2、联合湖南日报、株洲日报、株洲广电等媒体，引导园区院校积极讲好园区故事、宣传职教声音，围绕“湖南九郎山职业教育科创城提质升级”“产教融合”“校园文化”等主体进行一系列宣传报道。2023年，省市报道园区近600篇，其中，2篇刊登在湖南日报要闻版，《人民日报》《光明日报》、央视《晚间新闻》均对园区进行推介报道。二是打造园区名片。在长株高速、北环大道、云龙大道等地区主干道增加“九郎山职教科创城”道路交通标志牌；联合九郎山集团策划“九郎山”杯羽毛球赛、篮球锦标赛等系列园区赛事，打造“九郎山职教科创城”标识度赛事活动文化品牌。3、全力</w:t>
            </w:r>
            <w:r>
              <w:rPr>
                <w:rFonts w:hint="default" w:ascii="仿宋_GB2312" w:hAnsi="Times New Roman" w:eastAsia="仿宋_GB2312" w:cs="Times New Roman"/>
                <w:color w:val="000000"/>
                <w:kern w:val="2"/>
                <w:sz w:val="20"/>
                <w:szCs w:val="20"/>
                <w:lang w:val="en" w:eastAsia="zh-CN" w:bidi="ar-SA"/>
              </w:rPr>
              <w:t>推进</w:t>
            </w:r>
            <w:r>
              <w:rPr>
                <w:rFonts w:hint="default" w:ascii="仿宋_GB2312" w:hAnsi="Times New Roman" w:eastAsia="仿宋_GB2312" w:cs="Times New Roman"/>
                <w:color w:val="000000"/>
                <w:kern w:val="2"/>
                <w:sz w:val="20"/>
                <w:szCs w:val="20"/>
                <w:lang w:val="en-US" w:eastAsia="zh-CN" w:bidi="ar-SA"/>
              </w:rPr>
              <w:t>提质升级。</w:t>
            </w:r>
            <w:r>
              <w:rPr>
                <w:rFonts w:hint="eastAsia" w:ascii="仿宋_GB2312" w:hAnsi="Times New Roman" w:eastAsia="仿宋_GB2312" w:cs="Times New Roman"/>
                <w:color w:val="000000"/>
                <w:kern w:val="2"/>
                <w:sz w:val="20"/>
                <w:szCs w:val="20"/>
                <w:lang w:val="en-US" w:eastAsia="zh-CN" w:bidi="ar-SA"/>
              </w:rPr>
              <w:t>一是推进项目建设。对重点项目实施专题调度，其他项目统筹调度。</w:t>
            </w:r>
            <w:r>
              <w:rPr>
                <w:rFonts w:hint="eastAsia" w:ascii="仿宋_GB2312" w:hAnsi="Times New Roman" w:eastAsia="仿宋_GB2312" w:cs="Times New Roman"/>
                <w:color w:val="000000"/>
                <w:kern w:val="2"/>
                <w:sz w:val="20"/>
                <w:szCs w:val="20"/>
                <w:lang w:val="en" w:eastAsia="zh-CN" w:bidi="ar-SA"/>
              </w:rPr>
              <w:t>智慧路、</w:t>
            </w:r>
            <w:r>
              <w:rPr>
                <w:rFonts w:hint="eastAsia" w:ascii="仿宋_GB2312" w:hAnsi="Times New Roman" w:eastAsia="仿宋_GB2312" w:cs="Times New Roman"/>
                <w:color w:val="000000"/>
                <w:kern w:val="2"/>
                <w:sz w:val="20"/>
                <w:szCs w:val="20"/>
                <w:lang w:val="en-US" w:eastAsia="zh-CN" w:bidi="ar-SA"/>
              </w:rPr>
              <w:t>言书路、泉塘路等6条道路已通车；有色职院新建5号教学实训楼完工；</w:t>
            </w:r>
            <w:r>
              <w:rPr>
                <w:rFonts w:hint="eastAsia" w:ascii="仿宋_GB2312" w:hAnsi="Times New Roman" w:eastAsia="仿宋_GB2312" w:cs="Times New Roman"/>
                <w:color w:val="000000"/>
                <w:kern w:val="2"/>
                <w:sz w:val="20"/>
                <w:szCs w:val="20"/>
                <w:lang w:val="en" w:eastAsia="zh-CN" w:bidi="ar-SA"/>
              </w:rPr>
              <w:t>航空技师学院产教融合基地</w:t>
            </w:r>
            <w:r>
              <w:rPr>
                <w:rFonts w:hint="eastAsia" w:ascii="仿宋_GB2312" w:hAnsi="Times New Roman" w:eastAsia="仿宋_GB2312" w:cs="Times New Roman"/>
                <w:color w:val="000000"/>
                <w:kern w:val="2"/>
                <w:sz w:val="20"/>
                <w:szCs w:val="20"/>
                <w:lang w:val="en-US" w:eastAsia="zh-CN" w:bidi="ar-SA"/>
              </w:rPr>
              <w:t>项目、铁道职院新校区三期工程进展顺利</w:t>
            </w:r>
            <w:r>
              <w:rPr>
                <w:rFonts w:hint="eastAsia" w:ascii="仿宋_GB2312" w:hAnsi="Times New Roman" w:eastAsia="仿宋_GB2312" w:cs="Times New Roman"/>
                <w:color w:val="000000"/>
                <w:kern w:val="2"/>
                <w:sz w:val="20"/>
                <w:szCs w:val="20"/>
                <w:lang w:val="en" w:eastAsia="zh-CN" w:bidi="ar-SA"/>
              </w:rPr>
              <w:t>；</w:t>
            </w:r>
            <w:r>
              <w:rPr>
                <w:rFonts w:hint="eastAsia" w:ascii="仿宋_GB2312" w:hAnsi="Times New Roman" w:eastAsia="仿宋_GB2312" w:cs="Times New Roman"/>
                <w:color w:val="000000"/>
                <w:kern w:val="2"/>
                <w:sz w:val="20"/>
                <w:szCs w:val="20"/>
                <w:lang w:val="en-US" w:eastAsia="zh-CN" w:bidi="ar-SA"/>
              </w:rPr>
              <w:t>秋田干渠、大丰学校等开工建设；铁科职院“双融中心”成功立项；湖汽职院与九郎山集团合作，创新“EPC+运营”模式，启动智慧广场项目建设。</w:t>
            </w:r>
            <w:r>
              <w:rPr>
                <w:rFonts w:hint="eastAsia" w:ascii="仿宋_GB2312" w:hAnsi="Times New Roman" w:eastAsia="仿宋_GB2312" w:cs="Times New Roman"/>
                <w:color w:val="000000"/>
                <w:kern w:val="2"/>
                <w:sz w:val="20"/>
                <w:szCs w:val="20"/>
                <w:lang w:val="en" w:eastAsia="zh-CN" w:bidi="ar-SA"/>
              </w:rPr>
              <w:t>二</w:t>
            </w:r>
            <w:r>
              <w:rPr>
                <w:rFonts w:hint="eastAsia" w:ascii="仿宋_GB2312" w:hAnsi="Times New Roman" w:eastAsia="仿宋_GB2312" w:cs="Times New Roman"/>
                <w:color w:val="000000"/>
                <w:kern w:val="2"/>
                <w:sz w:val="20"/>
                <w:szCs w:val="20"/>
                <w:lang w:val="en-US" w:eastAsia="zh-CN" w:bidi="ar-SA"/>
              </w:rPr>
              <w:t>是推进院校升本。统筹市直相关部门现场办公，解决院校不动产权证办理、人才引进、土地征拆等遗留问题18个，专题协调办理各院校请求事项5个，累计</w:t>
            </w:r>
            <w:r>
              <w:rPr>
                <w:rFonts w:hint="eastAsia" w:ascii="仿宋_GB2312" w:hAnsi="Times New Roman" w:eastAsia="仿宋_GB2312" w:cs="Times New Roman"/>
                <w:color w:val="000000"/>
                <w:kern w:val="2"/>
                <w:sz w:val="20"/>
                <w:szCs w:val="20"/>
                <w:lang w:val="en" w:eastAsia="zh-CN" w:bidi="ar-SA"/>
              </w:rPr>
              <w:t>办理不动产权证174本，共计土地面积3488.27亩、建筑面积109.7万㎡；</w:t>
            </w:r>
            <w:r>
              <w:rPr>
                <w:rFonts w:hint="eastAsia" w:ascii="仿宋_GB2312" w:hAnsi="Times New Roman" w:eastAsia="仿宋_GB2312" w:cs="Times New Roman"/>
                <w:color w:val="000000"/>
                <w:kern w:val="2"/>
                <w:sz w:val="20"/>
                <w:szCs w:val="20"/>
                <w:lang w:val="en-US" w:eastAsia="zh-CN" w:bidi="ar-SA"/>
              </w:rPr>
              <w:t>协调增加专任教师编制169个、编外人员员额350个；累计引进硕士超500人，其中博士及高级职称专业技术人才31人。3、主动推进产教融合。组织“制造名城·株洲产教融合沙龙”、“校企互联直通车”活动，搭建校企沟通平台；制定并落实人才奖励办法，给予育才留才工作实绩突出及新成立产业学院的院校资金奖励61万元；举办线上线下招聘会、人才对接交流会，引导毕业生本地就业；推动园区院校组建职教集团11个，建成产业学院16个、“双师”工作室91个，新建市级校企联合实验室7家，成功获批湖南省唯一国家级市域产教联合体；园区毕业生去向落实率连续三年在95%左右。4、坚持“安全第一、预防为主”的方针，严格落实“五联工作机制”，联合相关部门积极开展平安园区建设工作，每季度组织召开院校长联席会议，每月召开保卫处联席工作会议，重点做好传染病防治、重大赛事活动期间安全保障工作、校园周边安全环境整治、食品药品监督检查、消防应急演练、防范化解社会矛盾风险、公益宣传活动等工作，全年共赴院校督查工作40余次，组织召开各类联席会议25次，及时有效防范化解园区各类风险隐患，园区全年无任何重大安全事故发生。</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绩</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指</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标</w:t>
            </w:r>
          </w:p>
          <w:p>
            <w:pPr>
              <w:widowControl/>
              <w:spacing w:line="240" w:lineRule="exact"/>
              <w:jc w:val="center"/>
              <w:rPr>
                <w:rFonts w:hint="eastAsia" w:ascii="仿宋_GB2312" w:eastAsia="仿宋_GB2312"/>
                <w:color w:val="000000"/>
                <w:sz w:val="20"/>
                <w:szCs w:val="20"/>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一级指标</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三级指标</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sz w:val="20"/>
                <w:szCs w:val="20"/>
              </w:rPr>
            </w:pPr>
            <w:r>
              <w:rPr>
                <w:rFonts w:hint="eastAsia" w:ascii="仿宋_GB2312" w:eastAsia="仿宋_GB2312"/>
                <w:color w:val="000000"/>
                <w:sz w:val="20"/>
                <w:szCs w:val="20"/>
              </w:rPr>
              <w:t>年度指标值</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sz w:val="20"/>
                <w:szCs w:val="20"/>
              </w:rPr>
            </w:pPr>
            <w:r>
              <w:rPr>
                <w:rFonts w:hint="eastAsia" w:ascii="仿宋_GB2312" w:eastAsia="仿宋_GB2312"/>
                <w:color w:val="000000"/>
                <w:sz w:val="20"/>
                <w:szCs w:val="20"/>
              </w:rPr>
              <w:t>实际完成值</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分值</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得分</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sz w:val="20"/>
                <w:szCs w:val="20"/>
              </w:rPr>
            </w:pPr>
            <w:r>
              <w:rPr>
                <w:rFonts w:hint="eastAsia" w:ascii="仿宋_GB2312"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restart"/>
            <w:tcBorders>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出刊《职教动态》</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东文宋体"/>
                <w:color w:val="000000"/>
                <w:sz w:val="20"/>
                <w:szCs w:val="20"/>
                <w:lang w:val="en-US" w:eastAsia="zh-CN"/>
              </w:rPr>
            </w:pPr>
            <w:r>
              <w:rPr>
                <w:rFonts w:hint="eastAsia" w:ascii="仿宋_GB2312" w:eastAsia="仿宋_GB2312"/>
                <w:color w:val="000000"/>
                <w:sz w:val="20"/>
                <w:szCs w:val="20"/>
              </w:rPr>
              <w:t>　</w:t>
            </w: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3期</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出刊</w:t>
            </w:r>
            <w:r>
              <w:rPr>
                <w:rFonts w:hint="eastAsia" w:ascii="仿宋_GB2312" w:eastAsia="仿宋_GB2312"/>
                <w:color w:val="000000"/>
                <w:sz w:val="20"/>
                <w:szCs w:val="20"/>
                <w:lang w:val="en-US" w:eastAsia="zh-CN"/>
              </w:rPr>
              <w:t>4期</w:t>
            </w:r>
            <w:r>
              <w:rPr>
                <w:rFonts w:hint="eastAsia" w:ascii="仿宋_GB2312" w:eastAsia="仿宋_GB2312"/>
                <w:color w:val="000000"/>
                <w:sz w:val="20"/>
                <w:szCs w:val="20"/>
                <w:lang w:eastAsia="zh-CN"/>
              </w:rPr>
              <w:t>《职教动态》</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28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continue"/>
            <w:tcBorders>
              <w:left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职教城提质升级工作</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取得成效</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5"/>
              </w:numPr>
              <w:spacing w:line="240" w:lineRule="exact"/>
              <w:jc w:val="left"/>
              <w:rPr>
                <w:rFonts w:hint="eastAsia" w:ascii="仿宋_GB2312" w:eastAsia="仿宋_GB2312"/>
                <w:color w:val="000000"/>
                <w:sz w:val="20"/>
                <w:szCs w:val="20"/>
                <w:lang w:val="en-US" w:eastAsia="zh-CN"/>
              </w:rPr>
            </w:pPr>
            <w:r>
              <w:rPr>
                <w:rFonts w:hint="eastAsia" w:ascii="仿宋_GB2312" w:eastAsia="仿宋_GB2312"/>
                <w:color w:val="000000"/>
                <w:sz w:val="20"/>
                <w:szCs w:val="20"/>
              </w:rPr>
              <w:t>协调解决化工职院一期征拆遗留问题、中医药高专征拆遗留问题、解决铁道职院新校区原居民土地权证注销问题。</w:t>
            </w:r>
            <w:r>
              <w:rPr>
                <w:rFonts w:hint="eastAsia" w:ascii="仿宋_GB2312" w:eastAsia="仿宋_GB2312"/>
                <w:color w:val="000000"/>
                <w:sz w:val="20"/>
                <w:szCs w:val="20"/>
                <w:lang w:val="en-US" w:eastAsia="zh-CN"/>
              </w:rPr>
              <w:t>2、</w:t>
            </w:r>
            <w:r>
              <w:rPr>
                <w:rFonts w:hint="eastAsia" w:ascii="仿宋_GB2312" w:eastAsia="仿宋_GB2312"/>
                <w:color w:val="000000"/>
                <w:sz w:val="20"/>
                <w:szCs w:val="20"/>
              </w:rPr>
              <w:t>调推进汽车职院、化工职院、中医高专、铁道职院、航空学院土地权证办理工作</w:t>
            </w:r>
            <w:r>
              <w:rPr>
                <w:rFonts w:hint="eastAsia" w:ascii="仿宋_GB2312" w:eastAsia="仿宋_GB2312"/>
                <w:color w:val="000000"/>
                <w:sz w:val="20"/>
                <w:szCs w:val="20"/>
                <w:lang w:eastAsia="zh-CN"/>
              </w:rPr>
              <w:t>，</w:t>
            </w:r>
            <w:r>
              <w:rPr>
                <w:rFonts w:hint="eastAsia" w:ascii="仿宋_GB2312" w:eastAsia="仿宋_GB2312"/>
                <w:color w:val="000000"/>
                <w:sz w:val="20"/>
                <w:szCs w:val="20"/>
              </w:rPr>
              <w:t>全年共办理不动产权证174本，共计土地面积3488.27亩、建筑面积109.7万㎡。</w:t>
            </w:r>
            <w:r>
              <w:rPr>
                <w:rFonts w:hint="eastAsia" w:ascii="仿宋_GB2312" w:eastAsia="仿宋_GB2312"/>
                <w:color w:val="000000"/>
                <w:sz w:val="20"/>
                <w:szCs w:val="20"/>
                <w:lang w:val="en-US" w:eastAsia="zh-CN"/>
              </w:rPr>
              <w:t>3、</w:t>
            </w:r>
            <w:r>
              <w:rPr>
                <w:rFonts w:hint="eastAsia" w:ascii="仿宋_GB2312" w:eastAsia="仿宋_GB2312"/>
                <w:color w:val="000000"/>
                <w:sz w:val="20"/>
                <w:szCs w:val="20"/>
              </w:rPr>
              <w:t>协调调配增加专任教师编制169个、编外人员员额350个；组织各院校赴北京等地招才引才，组织香港博士团走进职业院校；累计引进硕士超500人，其中博士及高级职称专业技术人才31人。在规划升本院校中，汽车职院已通过省高评委评估，有望成为我省第一所职业本科大学。</w:t>
            </w:r>
            <w:r>
              <w:rPr>
                <w:rFonts w:hint="eastAsia" w:ascii="仿宋_GB2312" w:eastAsia="仿宋_GB2312"/>
                <w:color w:val="000000"/>
                <w:sz w:val="20"/>
                <w:szCs w:val="20"/>
                <w:lang w:val="en-US" w:eastAsia="zh-CN"/>
              </w:rPr>
              <w:t>4、推进项目建设。对重点项目实施专题调度，其他项目统筹调度。水竹湖学校已投入使用；智慧路、言书路、泉塘路等6条道路已通车；有色职院新建5号教学实训楼完工；航空技师学院产教融合基地项目、铁道职院新校区三期工程进展顺利；秋田干渠、大丰学校等开工建设；铁科职院“双融中心”成功立项；湖汽职院与九郎山集团合作，创新“EPC+运营”模式，启动智慧广场项目建设。</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29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continue"/>
            <w:tcBorders>
              <w:left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各项任务完成时间</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12月底前</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12月底前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院校诉求技师办理</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及时办理并回复院校诉求</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eastAsia="zh-CN"/>
              </w:rPr>
              <w:t>及时办理并回复院校诉求，梳理院校升本困难问题23个，解决院校在不动产权证办理、人才引进、土地征拆等遗留问题18个，专题协调办理各院校请求事项5个。结合“走找想促”和大兴调研之风，为院校解决各类问题45个。</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5</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5</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效益指标</w:t>
            </w:r>
          </w:p>
          <w:p>
            <w:pPr>
              <w:widowControl/>
              <w:spacing w:line="240" w:lineRule="exact"/>
              <w:jc w:val="left"/>
              <w:rPr>
                <w:rFonts w:hint="eastAsia" w:ascii="仿宋_GB2312" w:eastAsia="仿宋_GB2312"/>
                <w:color w:val="000000"/>
                <w:sz w:val="20"/>
                <w:szCs w:val="20"/>
              </w:rPr>
            </w:pPr>
          </w:p>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（20分）</w:t>
            </w:r>
          </w:p>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经济效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新增产业学院</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东文宋体"/>
                <w:color w:val="000000"/>
                <w:sz w:val="20"/>
                <w:szCs w:val="20"/>
                <w:lang w:val="en-US" w:eastAsia="zh-CN"/>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2个</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新增全年新增湖南铁科专精特新产业学院、湖南汽车工程学院航海产业学院、湖南航空技师航空产业学院、湖南省商业技师学院智慧零售产业学院4所产业学院。</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7</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1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社会效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新增社区学院</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3个</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val="en-US" w:eastAsia="zh-CN"/>
              </w:rPr>
            </w:pPr>
            <w:r>
              <w:rPr>
                <w:rFonts w:hint="default" w:ascii="仿宋_GB2312" w:hAnsi="Times New Roman" w:eastAsia="仿宋_GB2312" w:cs="Times New Roman"/>
                <w:color w:val="000000"/>
                <w:sz w:val="20"/>
                <w:szCs w:val="20"/>
                <w:lang w:val="en-US" w:eastAsia="zh-CN"/>
              </w:rPr>
              <w:t>新增</w:t>
            </w:r>
            <w:r>
              <w:rPr>
                <w:rFonts w:hint="default" w:ascii="仿宋_GB2312" w:eastAsia="仿宋_GB2312" w:cs="Times New Roman"/>
                <w:color w:val="000000"/>
                <w:sz w:val="20"/>
                <w:szCs w:val="20"/>
                <w:lang w:val="en-US" w:eastAsia="zh-CN"/>
              </w:rPr>
              <w:t>3</w:t>
            </w:r>
            <w:r>
              <w:rPr>
                <w:rFonts w:hint="default" w:ascii="仿宋_GB2312" w:hAnsi="Times New Roman" w:eastAsia="仿宋_GB2312" w:cs="Times New Roman"/>
                <w:color w:val="000000"/>
                <w:sz w:val="20"/>
                <w:szCs w:val="20"/>
                <w:lang w:val="en-US" w:eastAsia="zh-CN"/>
              </w:rPr>
              <w:t>所社区学院</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default" w:ascii="仿宋_GB2312" w:eastAsia="仿宋_GB2312"/>
                <w:color w:val="000000"/>
                <w:sz w:val="20"/>
                <w:szCs w:val="20"/>
                <w:lang w:val="en-US" w:eastAsia="zh-CN"/>
              </w:rPr>
              <w:t>3</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2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生态效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节约型机关创建</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取得成效</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节约型机关创建达标。</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2</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33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p>
        </w:tc>
        <w:tc>
          <w:tcPr>
            <w:tcW w:w="1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eastAsia="zh-CN"/>
              </w:rPr>
            </w:pPr>
            <w:r>
              <w:rPr>
                <w:rFonts w:hint="eastAsia" w:ascii="仿宋_GB2312" w:hAnsi="Times New Roman" w:eastAsia="仿宋_GB2312" w:cs="Times New Roman"/>
                <w:color w:val="000000"/>
                <w:sz w:val="20"/>
                <w:szCs w:val="20"/>
                <w:lang w:eastAsia="zh-CN"/>
              </w:rPr>
              <w:t>打造湖南职业教育品牌</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eastAsia="zh-CN"/>
              </w:rPr>
              <w:t>全年在省市主要媒体刊播报道≥</w:t>
            </w:r>
            <w:r>
              <w:rPr>
                <w:rFonts w:hint="eastAsia" w:ascii="仿宋_GB2312" w:hAnsi="Times New Roman" w:eastAsia="仿宋_GB2312" w:cs="Times New Roman"/>
                <w:color w:val="000000"/>
                <w:sz w:val="20"/>
                <w:szCs w:val="20"/>
                <w:lang w:val="en-US" w:eastAsia="zh-CN"/>
              </w:rPr>
              <w:t>5次</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eastAsia="zh-CN"/>
              </w:rPr>
            </w:pPr>
            <w:r>
              <w:rPr>
                <w:rFonts w:hint="eastAsia" w:ascii="仿宋_GB2312" w:hAnsi="Times New Roman" w:eastAsia="仿宋_GB2312" w:cs="Times New Roman"/>
                <w:color w:val="000000"/>
                <w:sz w:val="20"/>
                <w:szCs w:val="20"/>
                <w:lang w:eastAsia="zh-CN"/>
              </w:rPr>
              <w:t>2023年，省市报道园区近600篇，其中，2篇刊登在湖南日报要闻版，《人民日报》《光明日报》、央视《晚间新闻》均对园区进行推介报道。</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8</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33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满意度</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指标</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（10分）</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院校满意度</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东文宋体" w:hAnsi="东文宋体" w:eastAsia="东文宋体" w:cs="东文宋体"/>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98%</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东文宋体" w:hAnsi="东文宋体" w:eastAsia="东文宋体" w:cs="东文宋体"/>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98%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33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29"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成本指标（20分）</w:t>
            </w:r>
          </w:p>
        </w:tc>
        <w:tc>
          <w:tcPr>
            <w:tcW w:w="108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经济成本指标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eastAsia="zh-CN"/>
              </w:rPr>
            </w:pPr>
            <w:r>
              <w:rPr>
                <w:rFonts w:hint="eastAsia" w:ascii="仿宋_GB2312" w:hAnsi="Times New Roman" w:eastAsia="仿宋_GB2312" w:cs="Times New Roman"/>
                <w:color w:val="000000"/>
                <w:sz w:val="20"/>
                <w:szCs w:val="20"/>
                <w:lang w:eastAsia="zh-CN"/>
              </w:rPr>
              <w:t>乡村振兴帮扶资金</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Times New Roman" w:eastAsia="仿宋_GB2312" w:cs="Times New Roman"/>
                <w:color w:val="000000"/>
                <w:sz w:val="20"/>
                <w:szCs w:val="20"/>
                <w:lang w:eastAsia="zh-CN"/>
              </w:rPr>
            </w:pPr>
            <w:r>
              <w:rPr>
                <w:rFonts w:hint="eastAsia" w:ascii="仿宋_GB2312" w:hAnsi="Times New Roman" w:eastAsia="仿宋_GB2312" w:cs="Times New Roman"/>
                <w:color w:val="000000"/>
                <w:sz w:val="20"/>
                <w:szCs w:val="20"/>
                <w:lang w:eastAsia="zh-CN"/>
              </w:rPr>
              <w:t>≥</w:t>
            </w:r>
            <w:r>
              <w:rPr>
                <w:rFonts w:hint="eastAsia" w:ascii="仿宋_GB2312" w:eastAsia="仿宋_GB2312" w:cs="Times New Roman"/>
                <w:color w:val="000000"/>
                <w:sz w:val="20"/>
                <w:szCs w:val="20"/>
                <w:lang w:val="en-US" w:eastAsia="zh-CN"/>
              </w:rPr>
              <w:t>15</w:t>
            </w:r>
            <w:r>
              <w:rPr>
                <w:rFonts w:hint="eastAsia" w:ascii="仿宋_GB2312" w:hAnsi="Times New Roman" w:eastAsia="仿宋_GB2312" w:cs="Times New Roman"/>
                <w:color w:val="000000"/>
                <w:sz w:val="20"/>
                <w:szCs w:val="20"/>
                <w:lang w:val="en-US" w:eastAsia="zh-CN"/>
              </w:rPr>
              <w:t>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Times New Roman" w:eastAsia="仿宋_GB2312" w:cs="Times New Roman"/>
                <w:color w:val="000000"/>
                <w:sz w:val="20"/>
                <w:szCs w:val="20"/>
                <w:lang w:val="en-US" w:eastAsia="zh-CN"/>
              </w:rPr>
            </w:pPr>
            <w:r>
              <w:rPr>
                <w:rFonts w:hint="eastAsia" w:ascii="仿宋_GB2312" w:eastAsia="仿宋_GB2312" w:cs="Times New Roman"/>
                <w:color w:val="000000"/>
                <w:sz w:val="20"/>
                <w:szCs w:val="20"/>
                <w:lang w:val="en-US" w:eastAsia="zh-CN"/>
              </w:rPr>
              <w:t>15万元</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10</w:t>
            </w:r>
          </w:p>
        </w:tc>
        <w:tc>
          <w:tcPr>
            <w:tcW w:w="8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10</w:t>
            </w: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7609"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总分</w:t>
            </w:r>
          </w:p>
        </w:tc>
        <w:tc>
          <w:tcPr>
            <w:tcW w:w="8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100</w:t>
            </w:r>
          </w:p>
        </w:tc>
        <w:tc>
          <w:tcPr>
            <w:tcW w:w="8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w:t>
            </w:r>
            <w:r>
              <w:rPr>
                <w:rFonts w:hint="default" w:ascii="仿宋_GB2312" w:eastAsia="仿宋_GB2312"/>
                <w:color w:val="000000"/>
                <w:sz w:val="20"/>
                <w:szCs w:val="20"/>
                <w:lang w:val="en-US" w:eastAsia="zh-CN"/>
              </w:rPr>
              <w:t>9</w:t>
            </w:r>
            <w:r>
              <w:rPr>
                <w:rFonts w:hint="eastAsia" w:ascii="仿宋_GB2312" w:eastAsia="仿宋_GB2312"/>
                <w:color w:val="000000"/>
                <w:sz w:val="20"/>
                <w:szCs w:val="20"/>
                <w:lang w:val="en-US" w:eastAsia="zh-CN"/>
              </w:rPr>
              <w:t>.3</w:t>
            </w:r>
            <w:r>
              <w:rPr>
                <w:rFonts w:hint="default" w:ascii="仿宋_GB2312" w:eastAsia="仿宋_GB2312"/>
                <w:color w:val="000000"/>
                <w:sz w:val="20"/>
                <w:szCs w:val="20"/>
                <w:lang w:val="en-US" w:eastAsia="zh-CN"/>
              </w:rPr>
              <w:t>6</w:t>
            </w:r>
          </w:p>
        </w:tc>
        <w:tc>
          <w:tcPr>
            <w:tcW w:w="80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r>
    </w:tbl>
    <w:p>
      <w:pPr>
        <w:tabs>
          <w:tab w:val="left" w:pos="7560"/>
        </w:tabs>
        <w:adjustRightInd w:val="0"/>
        <w:snapToGrid w:val="0"/>
        <w:spacing w:line="560" w:lineRule="exact"/>
        <w:rPr>
          <w:rFonts w:ascii="黑体" w:hAnsi="黑体" w:eastAsia="黑体"/>
          <w:sz w:val="32"/>
          <w:szCs w:val="32"/>
        </w:rPr>
      </w:pPr>
      <w:r>
        <w:rPr>
          <w:rFonts w:eastAsia="仿宋_GB2312"/>
          <w:sz w:val="22"/>
          <w:szCs w:val="22"/>
        </w:rPr>
        <w:t>填表人：</w:t>
      </w:r>
      <w:r>
        <w:rPr>
          <w:rFonts w:hint="eastAsia" w:eastAsia="仿宋_GB2312"/>
          <w:sz w:val="22"/>
          <w:szCs w:val="22"/>
          <w:lang w:val="en-US" w:eastAsia="zh-CN"/>
        </w:rPr>
        <w:t xml:space="preserve">  </w:t>
      </w:r>
      <w:r>
        <w:rPr>
          <w:rFonts w:eastAsia="仿宋_GB2312"/>
          <w:sz w:val="22"/>
          <w:szCs w:val="22"/>
        </w:rPr>
        <w:t xml:space="preserve">  填报日期：</w:t>
      </w:r>
      <w:r>
        <w:rPr>
          <w:rFonts w:hint="eastAsia" w:eastAsia="仿宋_GB2312"/>
          <w:sz w:val="22"/>
          <w:szCs w:val="22"/>
          <w:lang w:val="en-US" w:eastAsia="zh-CN"/>
        </w:rPr>
        <w:t>2024.04.23</w:t>
      </w:r>
      <w:r>
        <w:rPr>
          <w:rFonts w:eastAsia="仿宋_GB2312"/>
          <w:sz w:val="22"/>
          <w:szCs w:val="22"/>
        </w:rPr>
        <w:t xml:space="preserve">  联系电话：</w:t>
      </w:r>
      <w:r>
        <w:rPr>
          <w:rFonts w:hint="eastAsia" w:eastAsia="仿宋_GB2312"/>
          <w:sz w:val="22"/>
          <w:szCs w:val="22"/>
          <w:lang w:val="en-US" w:eastAsia="zh-CN"/>
        </w:rPr>
        <w:t xml:space="preserve"> </w:t>
      </w:r>
      <w:r>
        <w:rPr>
          <w:rFonts w:eastAsia="仿宋_GB2312"/>
          <w:sz w:val="22"/>
          <w:szCs w:val="22"/>
        </w:rPr>
        <w:t xml:space="preserve">  单位负责人签字：</w:t>
      </w:r>
    </w:p>
    <w:p>
      <w:pPr>
        <w:tabs>
          <w:tab w:val="left" w:pos="7560"/>
        </w:tabs>
        <w:adjustRightInd w:val="0"/>
        <w:snapToGrid w:val="0"/>
        <w:spacing w:line="56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3</w:t>
      </w:r>
    </w:p>
    <w:p>
      <w:pPr>
        <w:widowControl/>
        <w:spacing w:line="600" w:lineRule="exact"/>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2023年度项目支出绩效自评表</w:t>
      </w:r>
    </w:p>
    <w:tbl>
      <w:tblPr>
        <w:tblStyle w:val="11"/>
        <w:tblW w:w="9851" w:type="dxa"/>
        <w:jc w:val="center"/>
        <w:tblLayout w:type="fixed"/>
        <w:tblCellMar>
          <w:top w:w="0" w:type="dxa"/>
          <w:left w:w="108" w:type="dxa"/>
          <w:bottom w:w="0" w:type="dxa"/>
          <w:right w:w="108" w:type="dxa"/>
        </w:tblCellMar>
      </w:tblPr>
      <w:tblGrid>
        <w:gridCol w:w="1080"/>
        <w:gridCol w:w="1080"/>
        <w:gridCol w:w="1080"/>
        <w:gridCol w:w="1224"/>
        <w:gridCol w:w="1134"/>
        <w:gridCol w:w="1810"/>
        <w:gridCol w:w="650"/>
        <w:gridCol w:w="837"/>
        <w:gridCol w:w="956"/>
      </w:tblGrid>
      <w:tr>
        <w:tblPrEx>
          <w:tblCellMar>
            <w:top w:w="0" w:type="dxa"/>
            <w:left w:w="108" w:type="dxa"/>
            <w:bottom w:w="0" w:type="dxa"/>
            <w:right w:w="108" w:type="dxa"/>
          </w:tblCellMar>
        </w:tblPrEx>
        <w:trPr>
          <w:trHeight w:val="546"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eastAsia="仿宋_GB2312"/>
                <w:color w:val="000000"/>
                <w:sz w:val="20"/>
                <w:szCs w:val="20"/>
              </w:rPr>
            </w:pPr>
            <w:r>
              <w:rPr>
                <w:rFonts w:hint="eastAsia" w:ascii="仿宋_GB2312" w:eastAsia="仿宋_GB2312"/>
                <w:color w:val="000000"/>
                <w:sz w:val="20"/>
                <w:szCs w:val="20"/>
              </w:rPr>
              <w:t>项目支</w:t>
            </w:r>
          </w:p>
          <w:p>
            <w:pPr>
              <w:widowControl/>
              <w:spacing w:line="260" w:lineRule="exact"/>
              <w:jc w:val="center"/>
              <w:rPr>
                <w:rFonts w:hint="eastAsia" w:ascii="仿宋_GB2312" w:eastAsia="仿宋_GB2312"/>
                <w:color w:val="000000"/>
                <w:sz w:val="20"/>
                <w:szCs w:val="20"/>
              </w:rPr>
            </w:pPr>
            <w:r>
              <w:rPr>
                <w:rFonts w:hint="eastAsia" w:ascii="仿宋_GB2312" w:eastAsia="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rPr>
              <w:t>职业教育发展</w:t>
            </w:r>
            <w:r>
              <w:rPr>
                <w:rFonts w:hint="eastAsia" w:ascii="仿宋_GB2312" w:hAnsi="Times New Roman" w:eastAsia="仿宋_GB2312" w:cs="Times New Roman"/>
                <w:color w:val="000000"/>
                <w:sz w:val="20"/>
                <w:szCs w:val="20"/>
                <w:lang w:eastAsia="zh-CN"/>
              </w:rPr>
              <w:t>专项</w:t>
            </w:r>
            <w:r>
              <w:rPr>
                <w:rFonts w:hint="eastAsia" w:ascii="仿宋_GB2312"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367"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rPr>
            </w:pPr>
            <w:r>
              <w:rPr>
                <w:rFonts w:hint="eastAsia" w:ascii="仿宋_GB2312" w:eastAsia="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rPr>
            </w:pPr>
            <w:r>
              <w:rPr>
                <w:rFonts w:hint="eastAsia" w:ascii="仿宋_GB2312" w:eastAsia="仿宋_GB2312"/>
                <w:color w:val="000000"/>
                <w:sz w:val="20"/>
                <w:szCs w:val="20"/>
              </w:rPr>
              <w:t>　</w:t>
            </w:r>
            <w:r>
              <w:rPr>
                <w:rFonts w:hint="eastAsia" w:ascii="仿宋_GB2312" w:eastAsia="仿宋_GB2312"/>
                <w:color w:val="000000"/>
                <w:sz w:val="20"/>
                <w:szCs w:val="20"/>
                <w:lang w:eastAsia="zh-CN"/>
              </w:rPr>
              <w:t>株洲职业教育科技园管理办公室</w:t>
            </w:r>
          </w:p>
        </w:tc>
        <w:tc>
          <w:tcPr>
            <w:tcW w:w="181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实施单位</w:t>
            </w:r>
          </w:p>
        </w:tc>
        <w:tc>
          <w:tcPr>
            <w:tcW w:w="2443"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lang w:eastAsia="zh-CN"/>
              </w:rPr>
            </w:pPr>
            <w:r>
              <w:rPr>
                <w:rFonts w:hint="eastAsia" w:ascii="仿宋_GB2312" w:eastAsia="仿宋_GB2312"/>
                <w:color w:val="000000"/>
                <w:sz w:val="20"/>
                <w:szCs w:val="20"/>
                <w:lang w:eastAsia="zh-CN"/>
              </w:rPr>
              <w:t>株洲职业教育科技园管理办公室</w:t>
            </w:r>
          </w:p>
        </w:tc>
      </w:tr>
      <w:tr>
        <w:tblPrEx>
          <w:tblCellMar>
            <w:top w:w="0" w:type="dxa"/>
            <w:left w:w="108" w:type="dxa"/>
            <w:bottom w:w="0" w:type="dxa"/>
            <w:right w:w="108" w:type="dxa"/>
          </w:tblCellMar>
        </w:tblPrEx>
        <w:trPr>
          <w:trHeight w:val="434"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项目资金</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rPr>
            </w:pPr>
            <w:r>
              <w:rPr>
                <w:rFonts w:hint="eastAsia" w:ascii="仿宋_GB2312" w:eastAsia="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年初</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全年</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预算数</w:t>
            </w:r>
          </w:p>
        </w:tc>
        <w:tc>
          <w:tcPr>
            <w:tcW w:w="1810"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0"/>
                <w:szCs w:val="20"/>
              </w:rPr>
            </w:pPr>
            <w:r>
              <w:rPr>
                <w:rFonts w:hint="eastAsia" w:ascii="仿宋_GB2312" w:eastAsia="仿宋_GB2312"/>
                <w:sz w:val="20"/>
                <w:szCs w:val="20"/>
              </w:rPr>
              <w:t>全年</w:t>
            </w:r>
          </w:p>
          <w:p>
            <w:pPr>
              <w:jc w:val="center"/>
              <w:rPr>
                <w:rFonts w:hint="eastAsia" w:ascii="仿宋_GB2312" w:eastAsia="仿宋_GB2312"/>
                <w:sz w:val="20"/>
                <w:szCs w:val="20"/>
              </w:rPr>
            </w:pPr>
            <w:r>
              <w:rPr>
                <w:rFonts w:hint="eastAsia" w:ascii="仿宋_GB2312" w:eastAsia="仿宋_GB2312"/>
                <w:sz w:val="20"/>
                <w:szCs w:val="20"/>
              </w:rPr>
              <w:t>执行数</w:t>
            </w:r>
          </w:p>
        </w:tc>
        <w:tc>
          <w:tcPr>
            <w:tcW w:w="650"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0"/>
                <w:szCs w:val="20"/>
              </w:rPr>
            </w:pPr>
            <w:r>
              <w:rPr>
                <w:rFonts w:hint="eastAsia" w:ascii="仿宋_GB2312" w:eastAsia="仿宋_GB2312"/>
                <w:sz w:val="20"/>
                <w:szCs w:val="20"/>
              </w:rPr>
              <w:t>分值</w:t>
            </w:r>
          </w:p>
        </w:tc>
        <w:tc>
          <w:tcPr>
            <w:tcW w:w="837"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0"/>
                <w:szCs w:val="20"/>
              </w:rPr>
            </w:pPr>
            <w:r>
              <w:rPr>
                <w:rFonts w:hint="eastAsia" w:ascii="仿宋_GB2312" w:eastAsia="仿宋_GB2312"/>
                <w:sz w:val="20"/>
                <w:szCs w:val="20"/>
              </w:rPr>
              <w:t>执行率</w:t>
            </w:r>
          </w:p>
        </w:tc>
        <w:tc>
          <w:tcPr>
            <w:tcW w:w="956" w:type="dxa"/>
            <w:tcBorders>
              <w:top w:val="nil"/>
              <w:left w:val="nil"/>
              <w:bottom w:val="single" w:color="auto" w:sz="4" w:space="0"/>
              <w:right w:val="single" w:color="auto" w:sz="4" w:space="0"/>
            </w:tcBorders>
            <w:noWrap w:val="0"/>
            <w:vAlign w:val="center"/>
          </w:tcPr>
          <w:p>
            <w:pPr>
              <w:jc w:val="center"/>
              <w:rPr>
                <w:rFonts w:hint="eastAsia" w:ascii="仿宋_GB2312" w:eastAsia="仿宋_GB2312"/>
                <w:sz w:val="20"/>
                <w:szCs w:val="20"/>
              </w:rPr>
            </w:pPr>
            <w:r>
              <w:rPr>
                <w:rFonts w:hint="eastAsia" w:ascii="仿宋_GB2312" w:eastAsia="仿宋_GB2312"/>
                <w:sz w:val="20"/>
                <w:szCs w:val="20"/>
              </w:rPr>
              <w:t>得分</w:t>
            </w:r>
          </w:p>
        </w:tc>
      </w:tr>
      <w:tr>
        <w:tblPrEx>
          <w:tblCellMar>
            <w:top w:w="0" w:type="dxa"/>
            <w:left w:w="108" w:type="dxa"/>
            <w:bottom w:w="0" w:type="dxa"/>
            <w:right w:w="108" w:type="dxa"/>
          </w:tblCellMar>
        </w:tblPrEx>
        <w:trPr>
          <w:trHeight w:val="4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eastAsia="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rPr>
            </w:pPr>
            <w:r>
              <w:rPr>
                <w:rFonts w:hint="eastAsia" w:ascii="仿宋_GB2312" w:eastAsia="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30</w:t>
            </w:r>
          </w:p>
        </w:tc>
        <w:tc>
          <w:tcPr>
            <w:tcW w:w="181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default" w:ascii="仿宋_GB2312" w:eastAsia="仿宋_GB2312"/>
                <w:color w:val="000000"/>
                <w:sz w:val="20"/>
                <w:szCs w:val="20"/>
                <w:lang w:val="en-US" w:eastAsia="zh-CN"/>
              </w:rPr>
              <w:t>29.74</w:t>
            </w:r>
          </w:p>
        </w:tc>
        <w:tc>
          <w:tcPr>
            <w:tcW w:w="650"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99</w:t>
            </w:r>
            <w:r>
              <w:rPr>
                <w:rFonts w:hint="default" w:ascii="仿宋_GB2312" w:eastAsia="仿宋_GB2312"/>
                <w:color w:val="000000"/>
                <w:sz w:val="20"/>
                <w:szCs w:val="20"/>
                <w:lang w:val="en-US" w:eastAsia="zh-CN"/>
              </w:rPr>
              <w:t>.13</w:t>
            </w:r>
            <w:r>
              <w:rPr>
                <w:rFonts w:hint="eastAsia" w:ascii="仿宋_GB2312" w:eastAsia="仿宋_GB2312"/>
                <w:color w:val="000000"/>
                <w:sz w:val="20"/>
                <w:szCs w:val="20"/>
                <w:lang w:val="en-US" w:eastAsia="zh-CN"/>
              </w:rPr>
              <w:t>%</w:t>
            </w:r>
          </w:p>
        </w:tc>
        <w:tc>
          <w:tcPr>
            <w:tcW w:w="956"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9.9</w:t>
            </w:r>
            <w:r>
              <w:rPr>
                <w:rFonts w:hint="default" w:ascii="仿宋_GB2312" w:eastAsia="仿宋_GB2312"/>
                <w:color w:val="000000"/>
                <w:sz w:val="20"/>
                <w:szCs w:val="20"/>
                <w:lang w:val="en-US" w:eastAsia="zh-CN"/>
              </w:rPr>
              <w:t>1</w:t>
            </w:r>
          </w:p>
        </w:tc>
      </w:tr>
      <w:tr>
        <w:tblPrEx>
          <w:tblCellMar>
            <w:top w:w="0" w:type="dxa"/>
            <w:left w:w="108" w:type="dxa"/>
            <w:bottom w:w="0" w:type="dxa"/>
            <w:right w:w="108" w:type="dxa"/>
          </w:tblCellMar>
        </w:tblPrEx>
        <w:trPr>
          <w:trHeight w:val="3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eastAsia="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eastAsia" w:ascii="仿宋_GB2312" w:eastAsia="仿宋_GB2312"/>
                <w:color w:val="000000"/>
                <w:sz w:val="20"/>
                <w:szCs w:val="20"/>
              </w:rPr>
            </w:pPr>
            <w:r>
              <w:rPr>
                <w:rFonts w:hint="eastAsia" w:ascii="仿宋_GB2312" w:eastAsia="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181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65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837"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r>
      <w:tr>
        <w:tblPrEx>
          <w:tblCellMar>
            <w:top w:w="0" w:type="dxa"/>
            <w:left w:w="108" w:type="dxa"/>
            <w:bottom w:w="0" w:type="dxa"/>
            <w:right w:w="108" w:type="dxa"/>
          </w:tblCellMar>
        </w:tblPrEx>
        <w:trPr>
          <w:trHeight w:val="2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eastAsia="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ind w:firstLine="600" w:firstLineChars="300"/>
              <w:jc w:val="left"/>
              <w:rPr>
                <w:rFonts w:hint="eastAsia" w:ascii="仿宋_GB2312" w:eastAsia="仿宋_GB2312"/>
                <w:color w:val="000000"/>
                <w:sz w:val="20"/>
                <w:szCs w:val="20"/>
              </w:rPr>
            </w:pPr>
            <w:r>
              <w:rPr>
                <w:rFonts w:hint="eastAsia" w:ascii="仿宋_GB2312" w:eastAsia="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181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65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837"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r>
      <w:tr>
        <w:tblPrEx>
          <w:tblCellMar>
            <w:top w:w="0" w:type="dxa"/>
            <w:left w:w="108" w:type="dxa"/>
            <w:bottom w:w="0" w:type="dxa"/>
            <w:right w:w="108" w:type="dxa"/>
          </w:tblCellMar>
        </w:tblPrEx>
        <w:trPr>
          <w:trHeight w:val="295" w:hRule="atLeast"/>
          <w:jc w:val="center"/>
        </w:trPr>
        <w:tc>
          <w:tcPr>
            <w:tcW w:w="1080" w:type="dxa"/>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eastAsia="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sz w:val="20"/>
                <w:szCs w:val="20"/>
              </w:rPr>
            </w:pPr>
            <w:r>
              <w:rPr>
                <w:rFonts w:hint="eastAsia" w:ascii="仿宋_GB2312" w:eastAsia="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30</w:t>
            </w:r>
          </w:p>
        </w:tc>
        <w:tc>
          <w:tcPr>
            <w:tcW w:w="181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29.74</w:t>
            </w:r>
          </w:p>
        </w:tc>
        <w:tc>
          <w:tcPr>
            <w:tcW w:w="65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lang w:val="en-US" w:eastAsia="zh-CN"/>
              </w:rPr>
              <w:t>99</w:t>
            </w:r>
            <w:r>
              <w:rPr>
                <w:rFonts w:hint="default" w:ascii="仿宋_GB2312" w:eastAsia="仿宋_GB2312"/>
                <w:color w:val="000000"/>
                <w:sz w:val="20"/>
                <w:szCs w:val="20"/>
                <w:lang w:val="en-US" w:eastAsia="zh-CN"/>
              </w:rPr>
              <w:t>.13</w:t>
            </w:r>
            <w:r>
              <w:rPr>
                <w:rFonts w:hint="eastAsia" w:ascii="仿宋_GB2312" w:eastAsia="仿宋_GB2312"/>
                <w:color w:val="000000"/>
                <w:sz w:val="20"/>
                <w:szCs w:val="20"/>
                <w:lang w:val="en-US" w:eastAsia="zh-CN"/>
              </w:rPr>
              <w:t>%</w:t>
            </w:r>
          </w:p>
        </w:tc>
        <w:tc>
          <w:tcPr>
            <w:tcW w:w="956"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rPr>
            </w:pPr>
            <w:r>
              <w:rPr>
                <w:rFonts w:hint="eastAsia" w:ascii="仿宋_GB2312" w:eastAsia="仿宋_GB2312"/>
                <w:color w:val="000000"/>
                <w:sz w:val="20"/>
                <w:szCs w:val="20"/>
                <w:lang w:val="en-US" w:eastAsia="zh-CN"/>
              </w:rPr>
              <w:t>9.9</w:t>
            </w:r>
            <w:r>
              <w:rPr>
                <w:rFonts w:hint="default" w:ascii="仿宋_GB2312" w:eastAsia="仿宋_GB2312"/>
                <w:color w:val="000000"/>
                <w:sz w:val="20"/>
                <w:szCs w:val="20"/>
                <w:lang w:val="en-US" w:eastAsia="zh-CN"/>
              </w:rPr>
              <w:t>1</w:t>
            </w:r>
          </w:p>
        </w:tc>
      </w:tr>
      <w:tr>
        <w:tblPrEx>
          <w:tblCellMar>
            <w:top w:w="0" w:type="dxa"/>
            <w:left w:w="108" w:type="dxa"/>
            <w:bottom w:w="0" w:type="dxa"/>
            <w:right w:w="108" w:type="dxa"/>
          </w:tblCellMar>
        </w:tblPrEx>
        <w:trPr>
          <w:trHeight w:val="3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实际完成情况　</w:t>
            </w:r>
          </w:p>
        </w:tc>
      </w:tr>
      <w:tr>
        <w:tblPrEx>
          <w:tblCellMar>
            <w:top w:w="0" w:type="dxa"/>
            <w:left w:w="108" w:type="dxa"/>
            <w:bottom w:w="0" w:type="dxa"/>
            <w:right w:w="108" w:type="dxa"/>
          </w:tblCellMar>
        </w:tblPrEx>
        <w:trPr>
          <w:trHeight w:val="9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eastAsia="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eastAsia="仿宋_GB2312"/>
                <w:color w:val="000000"/>
                <w:sz w:val="20"/>
                <w:szCs w:val="20"/>
              </w:rPr>
            </w:pPr>
            <w:r>
              <w:rPr>
                <w:rFonts w:hint="eastAsia" w:ascii="仿宋_GB2312" w:hAnsi="仿宋_GB2312" w:eastAsia="仿宋_GB2312" w:cs="仿宋_GB2312"/>
                <w:color w:val="000000"/>
                <w:sz w:val="24"/>
                <w:szCs w:val="24"/>
                <w:lang w:val="en-US" w:eastAsia="zh-CN"/>
              </w:rPr>
              <w:t>用于推进产教融合以及湖南九郎山职教科创城提质升级工作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numPr>
                <w:ilvl w:val="0"/>
                <w:numId w:val="6"/>
              </w:numPr>
              <w:jc w:val="left"/>
              <w:rPr>
                <w:rFonts w:hint="eastAsia" w:ascii="仿宋_GB2312" w:hAnsi="Times New Roman" w:eastAsia="仿宋_GB2312" w:cs="Times New Roman"/>
                <w:color w:val="000000"/>
                <w:sz w:val="20"/>
                <w:szCs w:val="20"/>
                <w:lang w:val="en-US" w:eastAsia="zh-CN"/>
              </w:rPr>
            </w:pPr>
            <w:r>
              <w:rPr>
                <w:rFonts w:hint="eastAsia" w:ascii="仿宋_GB2312" w:eastAsia="仿宋_GB2312"/>
                <w:b/>
                <w:bCs/>
                <w:color w:val="000000"/>
                <w:sz w:val="20"/>
                <w:szCs w:val="20"/>
                <w:lang w:eastAsia="zh-CN"/>
              </w:rPr>
              <w:t>推进院校升本</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w:t>
            </w:r>
            <w:r>
              <w:rPr>
                <w:rFonts w:hint="eastAsia" w:ascii="仿宋_GB2312" w:hAnsi="Times New Roman" w:eastAsia="仿宋_GB2312" w:cs="Times New Roman"/>
                <w:color w:val="000000"/>
                <w:sz w:val="20"/>
                <w:szCs w:val="20"/>
              </w:rPr>
              <w:t>协调</w:t>
            </w:r>
            <w:r>
              <w:rPr>
                <w:rFonts w:hint="eastAsia" w:ascii="仿宋_GB2312" w:eastAsia="仿宋_GB2312"/>
                <w:color w:val="000000"/>
                <w:sz w:val="20"/>
                <w:szCs w:val="20"/>
              </w:rPr>
              <w:t>解决化工职院一期征拆遗留问题、中医药高专征拆遗留问题、解决铁道职院新校区原居民土地权证注销问题。</w:t>
            </w:r>
            <w:r>
              <w:rPr>
                <w:rFonts w:hint="eastAsia" w:ascii="仿宋_GB2312" w:eastAsia="仿宋_GB2312"/>
                <w:color w:val="000000"/>
                <w:sz w:val="20"/>
                <w:szCs w:val="20"/>
                <w:lang w:val="en-US" w:eastAsia="zh-CN"/>
              </w:rPr>
              <w:t>2、协</w:t>
            </w:r>
            <w:r>
              <w:rPr>
                <w:rFonts w:hint="eastAsia" w:ascii="仿宋_GB2312" w:eastAsia="仿宋_GB2312"/>
                <w:color w:val="000000"/>
                <w:sz w:val="20"/>
                <w:szCs w:val="20"/>
              </w:rPr>
              <w:t>调推进汽车职院、化工职院、中医高专、铁道职院、航空学院土地权证办理工作</w:t>
            </w:r>
            <w:r>
              <w:rPr>
                <w:rFonts w:hint="eastAsia" w:ascii="仿宋_GB2312" w:eastAsia="仿宋_GB2312"/>
                <w:color w:val="000000"/>
                <w:sz w:val="20"/>
                <w:szCs w:val="20"/>
                <w:lang w:eastAsia="zh-CN"/>
              </w:rPr>
              <w:t>，</w:t>
            </w:r>
            <w:r>
              <w:rPr>
                <w:rFonts w:hint="eastAsia" w:ascii="仿宋_GB2312" w:eastAsia="仿宋_GB2312"/>
                <w:color w:val="000000"/>
                <w:sz w:val="20"/>
                <w:szCs w:val="20"/>
              </w:rPr>
              <w:t>全年共办理不动产权证174本，共计土地面积3488.27亩、建筑面积109.7万㎡。</w:t>
            </w:r>
            <w:r>
              <w:rPr>
                <w:rFonts w:hint="eastAsia" w:ascii="仿宋_GB2312" w:eastAsia="仿宋_GB2312"/>
                <w:color w:val="000000"/>
                <w:sz w:val="20"/>
                <w:szCs w:val="20"/>
                <w:lang w:val="en-US" w:eastAsia="zh-CN"/>
              </w:rPr>
              <w:t>3、</w:t>
            </w:r>
            <w:r>
              <w:rPr>
                <w:rFonts w:hint="eastAsia" w:ascii="仿宋_GB2312" w:eastAsia="仿宋_GB2312"/>
                <w:color w:val="000000"/>
                <w:sz w:val="20"/>
                <w:szCs w:val="20"/>
              </w:rPr>
              <w:t>协调调配增加专任教师编制169个、编外人员员额350个；组织各院校赴北京等地招才引才，组织香港博士团走进职业院校；累计引进硕士超500人，其中博士及高级职称专业技术人才31人。在规划升本院校中，汽车职院已通过省高评委评估，有望成为我省第一所职业本科大学。</w:t>
            </w:r>
            <w:r>
              <w:rPr>
                <w:rFonts w:hint="eastAsia" w:ascii="仿宋_GB2312" w:eastAsia="仿宋_GB2312"/>
                <w:b/>
                <w:bCs/>
                <w:color w:val="000000"/>
                <w:sz w:val="20"/>
                <w:szCs w:val="20"/>
                <w:lang w:val="en-US" w:eastAsia="zh-CN"/>
              </w:rPr>
              <w:t>二、推进项目建设。</w:t>
            </w:r>
            <w:r>
              <w:rPr>
                <w:rFonts w:hint="eastAsia" w:ascii="仿宋_GB2312" w:eastAsia="仿宋_GB2312"/>
                <w:color w:val="000000"/>
                <w:sz w:val="20"/>
                <w:szCs w:val="20"/>
                <w:lang w:val="en-US" w:eastAsia="zh-CN"/>
              </w:rPr>
              <w:t>对重点项目实施专题调度，其他项目统筹调度。水竹湖学校已投入使用；智慧路、言书路、泉塘路等6条道路已通车；有色职院新建5号教学实训楼完工；航空技师学院产教融合基地项目、铁道职院新校区三期工程进展顺利；秋田干渠、大丰学校等开工建设；铁科职院“双融中心”成功立项；湖汽职院与九郎山集团合作，创新“EPC+运营”模式，启动智慧广场项目建设。</w:t>
            </w:r>
            <w:r>
              <w:rPr>
                <w:rFonts w:hint="eastAsia" w:ascii="仿宋_GB2312" w:hAnsi="Times New Roman" w:eastAsia="仿宋_GB2312" w:cs="Times New Roman"/>
                <w:b/>
                <w:bCs/>
                <w:color w:val="000000"/>
                <w:sz w:val="20"/>
                <w:szCs w:val="20"/>
                <w:lang w:val="en-US" w:eastAsia="zh-CN"/>
              </w:rPr>
              <w:t>三、深入推进产教融合。</w:t>
            </w:r>
            <w:r>
              <w:rPr>
                <w:rFonts w:hint="eastAsia" w:ascii="仿宋_GB2312" w:hAnsi="Times New Roman" w:eastAsia="仿宋_GB2312" w:cs="Times New Roman"/>
                <w:color w:val="000000"/>
                <w:sz w:val="20"/>
                <w:szCs w:val="20"/>
                <w:lang w:val="en-US" w:eastAsia="zh-CN"/>
              </w:rPr>
              <w:t>1、优化双师工作室建设。积极推进企业大师进校园，校园名师进企业，传承工匠精神，传授职业技能，参与教育创新工作。完成“双师”工作室年度考核评优和第五批双师工作室申报工作，2023年新增“双师”工作室22个，当前共有“双师工作室”91个。2、推进产业学院建设。全年新增湖南铁科专精特新产业学院、湖南汽车工程学院航海产业学院、湖南航空技师航空产业学院、湖南省商业技师学院智慧零售产业学院4所产业学院，其中湖南铁路科技职院成功立项国家“专精特新产业学院”，当前共有16所产业学院</w:t>
            </w:r>
            <w:r>
              <w:rPr>
                <w:rFonts w:hint="eastAsia" w:ascii="仿宋_GB2312" w:eastAsia="仿宋_GB2312" w:cs="Times New Roman"/>
                <w:color w:val="000000"/>
                <w:sz w:val="20"/>
                <w:szCs w:val="20"/>
                <w:lang w:val="en-US" w:eastAsia="zh-CN"/>
              </w:rPr>
              <w:t>。</w:t>
            </w:r>
            <w:r>
              <w:rPr>
                <w:rFonts w:hint="eastAsia" w:ascii="仿宋_GB2312" w:hAnsi="Times New Roman" w:eastAsia="仿宋_GB2312" w:cs="Times New Roman"/>
                <w:color w:val="000000"/>
                <w:sz w:val="20"/>
                <w:szCs w:val="20"/>
                <w:lang w:val="en-US" w:eastAsia="zh-CN"/>
              </w:rPr>
              <w:t>3、搭建校企合作平台。立足产业与职教优势，依托高新区、铁道职院、中车株机为牵头院校和企业，成功获批湖南省唯一国家级市域产教联合体。推动汽车职院、铁科职院、中医药高专、化工职院等院校，新建市级校企联合实验室7家。</w:t>
            </w:r>
            <w:r>
              <w:rPr>
                <w:rFonts w:hint="eastAsia" w:ascii="仿宋_GB2312" w:hAnsi="Times New Roman" w:eastAsia="仿宋_GB2312" w:cs="Times New Roman"/>
                <w:b/>
                <w:bCs/>
                <w:color w:val="000000"/>
                <w:sz w:val="20"/>
                <w:szCs w:val="20"/>
                <w:lang w:val="en-US" w:eastAsia="zh-CN"/>
              </w:rPr>
              <w:t>四、加强人才培养服务。</w:t>
            </w:r>
            <w:r>
              <w:rPr>
                <w:rFonts w:hint="eastAsia" w:ascii="仿宋_GB2312" w:hAnsi="Times New Roman" w:eastAsia="仿宋_GB2312" w:cs="Times New Roman"/>
                <w:color w:val="000000"/>
                <w:sz w:val="20"/>
                <w:szCs w:val="20"/>
                <w:lang w:val="en-US" w:eastAsia="zh-CN"/>
              </w:rPr>
              <w:t>1、强化校企对接机制。开通“校企互联直通车”，推动园区院校人才培养与企业用工需求紧密结合；创新举办“制造名城·株洲产教融合沙龙”，促进职业教育适配产业发展，搭建校企联合培养人才合作平台。2、推动毕业生就业本地化。联合人社等相关部门，组织“民企职教携手促就业”2023年大中城市联合招聘高校毕业生春季专项活动和2023年“打造三个高地 建设制造名城”在株高校专场招聘等多场次招聘活动。各院校全年累计开展招聘会、人才对接交流会1200场次。2023年园区毕业生毕业去向落实率为91.4%。3、落实人才培养奖励政策。严格落实《湖南九郎山职教科创城校企联合培养技能人才奖励办法》，给予育才留才工作实绩突出及新成立产业学院的院校资金奖励，全年下拨奖金61万元。</w:t>
            </w:r>
          </w:p>
        </w:tc>
      </w:tr>
      <w:tr>
        <w:tblPrEx>
          <w:tblCellMar>
            <w:top w:w="0" w:type="dxa"/>
            <w:left w:w="108" w:type="dxa"/>
            <w:bottom w:w="0" w:type="dxa"/>
            <w:right w:w="108" w:type="dxa"/>
          </w:tblCellMar>
        </w:tblPrEx>
        <w:trPr>
          <w:trHeight w:val="55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绩</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效</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指</w:t>
            </w:r>
          </w:p>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年度</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指标值</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实际</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完成值</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分值</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得分</w:t>
            </w:r>
          </w:p>
        </w:tc>
        <w:tc>
          <w:tcPr>
            <w:tcW w:w="956"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000000"/>
                <w:sz w:val="20"/>
                <w:szCs w:val="20"/>
              </w:rPr>
            </w:pPr>
            <w:r>
              <w:rPr>
                <w:rFonts w:hint="eastAsia" w:ascii="仿宋_GB2312" w:eastAsia="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产出指标</w:t>
            </w:r>
          </w:p>
          <w:p>
            <w:pPr>
              <w:widowControl/>
              <w:spacing w:line="240" w:lineRule="exact"/>
              <w:jc w:val="center"/>
              <w:rPr>
                <w:rFonts w:hint="eastAsia" w:ascii="仿宋_GB2312" w:eastAsia="仿宋_GB2312"/>
                <w:color w:val="000000"/>
                <w:sz w:val="20"/>
                <w:szCs w:val="20"/>
              </w:rPr>
            </w:pP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(40分)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default" w:ascii="仿宋_GB2312" w:hAnsi="Times New Roman" w:eastAsia="仿宋_GB2312" w:cs="Times New Roman"/>
                <w:color w:val="000000"/>
                <w:sz w:val="20"/>
                <w:szCs w:val="20"/>
                <w:lang w:val="en-US" w:eastAsia="zh-CN"/>
              </w:rPr>
              <w:t>新增“双师”工作室</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22个</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rPr>
              <w:t>2023年新增“双师”工作室22个，当前共有“双师工作室”91个</w:t>
            </w:r>
            <w:r>
              <w:rPr>
                <w:rFonts w:hint="eastAsia" w:ascii="仿宋_GB2312" w:eastAsia="仿宋_GB2312"/>
                <w:color w:val="000000"/>
                <w:sz w:val="20"/>
                <w:szCs w:val="20"/>
                <w:lang w:eastAsia="zh-CN"/>
              </w:rPr>
              <w:t>。</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68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eastAsia="zh-CN"/>
              </w:rPr>
              <w:t>协调院校解决升本困难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eastAsia="zh-CN"/>
              </w:rPr>
              <w:t>取得重大进展</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rPr>
              <w:t>1、协调解决化工职院一期征拆遗留问题、中医药高专征拆遗留问题、解决铁道职院新校区原居民土地权证注销问题。2、</w:t>
            </w:r>
            <w:r>
              <w:rPr>
                <w:rFonts w:hint="eastAsia" w:ascii="仿宋_GB2312" w:eastAsia="仿宋_GB2312"/>
                <w:color w:val="000000"/>
                <w:sz w:val="20"/>
                <w:szCs w:val="20"/>
                <w:lang w:eastAsia="zh-CN"/>
              </w:rPr>
              <w:t>协</w:t>
            </w:r>
            <w:r>
              <w:rPr>
                <w:rFonts w:hint="eastAsia" w:ascii="仿宋_GB2312" w:eastAsia="仿宋_GB2312"/>
                <w:color w:val="000000"/>
                <w:sz w:val="20"/>
                <w:szCs w:val="20"/>
              </w:rPr>
              <w:t>调推进汽车职院、化工职院、中医高专、铁道职院、航空学院土地权证办理工作，全年共办理不动产权证174本，共计土地面积3488.27亩、建筑面积109.7万㎡。3、协调调配增加专任教师编制169个、编外人员员额350个；组织各院校赴北京等地招才引才，组织香港博士团走进职业院校；累计引进硕士超500人，其中博士及高级职称专业技术人才31人</w:t>
            </w:r>
            <w:r>
              <w:rPr>
                <w:rFonts w:hint="eastAsia" w:ascii="仿宋_GB2312" w:eastAsia="仿宋_GB2312"/>
                <w:color w:val="000000"/>
                <w:sz w:val="20"/>
                <w:szCs w:val="20"/>
                <w:lang w:eastAsia="zh-CN"/>
              </w:rPr>
              <w:t>。</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20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20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rPr>
            </w:pPr>
            <w:r>
              <w:rPr>
                <w:rFonts w:hint="eastAsia" w:ascii="仿宋_GB2312" w:hAnsi="Times New Roman" w:eastAsia="仿宋_GB2312" w:cs="Times New Roman"/>
                <w:color w:val="000000"/>
                <w:sz w:val="20"/>
                <w:szCs w:val="20"/>
                <w:lang w:val="en-US" w:eastAsia="zh-CN"/>
              </w:rPr>
              <w:t>专项资金拨付时间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hAnsi="Times New Roman" w:eastAsia="仿宋_GB2312" w:cs="Times New Roman"/>
                <w:color w:val="000000"/>
                <w:sz w:val="20"/>
                <w:szCs w:val="20"/>
                <w:lang w:val="en-US" w:eastAsia="zh-CN"/>
              </w:rPr>
              <w:t>12月底</w:t>
            </w:r>
            <w:r>
              <w:rPr>
                <w:rFonts w:hint="eastAsia" w:ascii="仿宋_GB2312" w:eastAsia="仿宋_GB2312" w:cs="Times New Roman"/>
                <w:color w:val="000000"/>
                <w:sz w:val="20"/>
                <w:szCs w:val="20"/>
                <w:lang w:val="en-US" w:eastAsia="zh-CN"/>
              </w:rPr>
              <w:t>之前</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12月底前完成了各专项资金的拨付。</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26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效益指标</w:t>
            </w:r>
          </w:p>
          <w:p>
            <w:pPr>
              <w:widowControl/>
              <w:spacing w:line="240" w:lineRule="exact"/>
              <w:jc w:val="left"/>
              <w:rPr>
                <w:rFonts w:hint="eastAsia" w:ascii="仿宋_GB2312" w:eastAsia="仿宋_GB2312"/>
                <w:color w:val="000000"/>
                <w:sz w:val="20"/>
                <w:szCs w:val="20"/>
              </w:rPr>
            </w:pPr>
          </w:p>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（20分）</w:t>
            </w:r>
          </w:p>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经济效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val="en" w:eastAsia="zh-CN"/>
              </w:rPr>
              <w:t>积极</w:t>
            </w:r>
            <w:r>
              <w:rPr>
                <w:rFonts w:hint="default" w:ascii="仿宋_GB2312" w:hAnsi="Times New Roman" w:eastAsia="仿宋_GB2312" w:cs="Times New Roman"/>
                <w:color w:val="000000"/>
                <w:sz w:val="20"/>
                <w:szCs w:val="20"/>
                <w:lang w:val="en" w:eastAsia="zh-CN"/>
              </w:rPr>
              <w:t>搭建校企沟通平台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东文宋体" w:hAnsi="东文宋体" w:eastAsia="东文宋体" w:cs="东文宋体"/>
                <w:color w:val="000000"/>
                <w:sz w:val="20"/>
                <w:szCs w:val="20"/>
              </w:rPr>
              <w:t>≥</w:t>
            </w:r>
            <w:r>
              <w:rPr>
                <w:rFonts w:hint="eastAsia" w:ascii="仿宋_GB2312" w:eastAsia="仿宋_GB2312"/>
                <w:color w:val="000000"/>
                <w:sz w:val="20"/>
                <w:szCs w:val="20"/>
                <w:lang w:val="en-US" w:eastAsia="zh-CN"/>
              </w:rPr>
              <w:t>2个</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lang w:eastAsia="zh-CN"/>
              </w:rPr>
            </w:pPr>
            <w:r>
              <w:rPr>
                <w:rFonts w:hint="eastAsia" w:ascii="仿宋_GB2312" w:eastAsia="仿宋_GB2312"/>
                <w:color w:val="000000"/>
                <w:sz w:val="20"/>
                <w:szCs w:val="20"/>
              </w:rPr>
              <w:t>开通“校企互联直通车”，推动园区院校人才培养与企业用工需求紧密结合；创新举办“制造名城·株洲产教融合沙龙”，促进职业教育适配产业发展，搭建校企联合培养人才合作平台</w:t>
            </w:r>
            <w:r>
              <w:rPr>
                <w:rFonts w:hint="eastAsia" w:ascii="仿宋_GB2312" w:eastAsia="仿宋_GB2312"/>
                <w:color w:val="000000"/>
                <w:sz w:val="20"/>
                <w:szCs w:val="20"/>
                <w:lang w:eastAsia="zh-CN"/>
              </w:rPr>
              <w:t>。</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社会效</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val="en" w:eastAsia="zh-CN"/>
              </w:rPr>
              <w:t>毕业生总体去向落实率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rPr>
            </w:pPr>
            <w:r>
              <w:rPr>
                <w:rFonts w:hint="eastAsia" w:ascii="东文宋体" w:hAnsi="东文宋体" w:eastAsia="东文宋体" w:cs="东文宋体"/>
                <w:color w:val="000000"/>
                <w:sz w:val="20"/>
                <w:szCs w:val="20"/>
              </w:rPr>
              <w:t>≥</w:t>
            </w:r>
            <w:r>
              <w:rPr>
                <w:rFonts w:hint="eastAsia" w:ascii="仿宋_GB2312" w:eastAsia="仿宋_GB2312"/>
                <w:color w:val="000000"/>
                <w:sz w:val="20"/>
                <w:szCs w:val="20"/>
                <w:lang w:val="en-US" w:eastAsia="zh-CN"/>
              </w:rPr>
              <w:t>90%</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91.4%</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5</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5</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可持续影响指标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val="en" w:eastAsia="zh-CN"/>
              </w:rPr>
              <w:t>打响品牌，扩大知名度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val="en-US" w:eastAsia="zh-CN"/>
              </w:rPr>
              <w:t>联合权威媒体，推出系列专题报道，省市主要媒体刊播报道不少于50篇</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rPr>
              <w:t>联合湖南日报、株洲日报、株洲广电等媒体，引导园区院校积极讲好园区故事、宣传职教声音，围绕“湖南九郎山职业教育科创城提质升级”“产教融合”“校园文化”等主体进行一系列宣传报道。2023年，省市报道园区近600篇，其中，2篇刊登在湖南日报要闻版，《人民日报》《光明日报》、央视《晚间新闻》均对园区进行推介报道。</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5</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5</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38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满意度</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指标</w:t>
            </w:r>
          </w:p>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eastAsia="zh-CN"/>
              </w:rPr>
              <w:t>院校满意度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98%</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98%</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10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eastAsia="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eastAsia="仿宋_GB2312"/>
                <w:color w:val="000000"/>
                <w:sz w:val="20"/>
                <w:szCs w:val="20"/>
              </w:rPr>
              <w:t>成本指标（20分）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仿宋_GB2312" w:eastAsia="仿宋_GB2312"/>
                <w:color w:val="000000"/>
                <w:sz w:val="20"/>
                <w:szCs w:val="20"/>
              </w:rPr>
              <w:t>经济成本指标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r>
              <w:rPr>
                <w:rFonts w:hint="eastAsia" w:ascii="仿宋_GB2312" w:hAnsi="Times New Roman" w:eastAsia="仿宋_GB2312" w:cs="Times New Roman"/>
                <w:color w:val="000000"/>
                <w:sz w:val="20"/>
                <w:szCs w:val="20"/>
                <w:lang w:eastAsia="zh-CN"/>
              </w:rPr>
              <w:t>打响湖南职业教育品牌宣传经费</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color w:val="000000"/>
                <w:sz w:val="20"/>
                <w:szCs w:val="20"/>
              </w:rPr>
            </w:pPr>
            <w:r>
              <w:rPr>
                <w:rFonts w:hint="eastAsia" w:ascii="东文宋体" w:hAnsi="东文宋体" w:eastAsia="东文宋体" w:cs="东文宋体"/>
                <w:color w:val="000000"/>
                <w:sz w:val="20"/>
                <w:szCs w:val="20"/>
              </w:rPr>
              <w:t>≥</w:t>
            </w:r>
            <w:r>
              <w:rPr>
                <w:rFonts w:hint="eastAsia" w:ascii="东文宋体" w:hAnsi="东文宋体" w:eastAsia="东文宋体" w:cs="东文宋体"/>
                <w:color w:val="000000"/>
                <w:sz w:val="20"/>
                <w:szCs w:val="20"/>
                <w:lang w:val="en-US" w:eastAsia="zh-CN"/>
              </w:rPr>
              <w:t>9万</w:t>
            </w:r>
          </w:p>
        </w:tc>
        <w:tc>
          <w:tcPr>
            <w:tcW w:w="18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9.8万元</w:t>
            </w:r>
          </w:p>
        </w:tc>
        <w:tc>
          <w:tcPr>
            <w:tcW w:w="6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20</w:t>
            </w:r>
          </w:p>
        </w:tc>
        <w:tc>
          <w:tcPr>
            <w:tcW w:w="8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Times New Roman" w:eastAsia="仿宋_GB2312" w:cs="Times New Roman"/>
                <w:color w:val="000000"/>
                <w:kern w:val="2"/>
                <w:sz w:val="20"/>
                <w:szCs w:val="20"/>
                <w:lang w:val="en-US" w:eastAsia="zh-CN" w:bidi="ar-SA"/>
              </w:rPr>
            </w:pPr>
            <w:r>
              <w:rPr>
                <w:rFonts w:hint="eastAsia" w:ascii="仿宋_GB2312" w:eastAsia="仿宋_GB2312"/>
                <w:color w:val="000000"/>
                <w:sz w:val="20"/>
                <w:szCs w:val="20"/>
                <w:lang w:val="en-US" w:eastAsia="zh-CN"/>
              </w:rPr>
              <w:t>20</w:t>
            </w:r>
          </w:p>
        </w:tc>
        <w:tc>
          <w:tcPr>
            <w:tcW w:w="95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color w:val="000000"/>
                <w:sz w:val="20"/>
                <w:szCs w:val="20"/>
              </w:rPr>
            </w:pPr>
          </w:p>
        </w:tc>
      </w:tr>
      <w:tr>
        <w:tblPrEx>
          <w:tblCellMar>
            <w:top w:w="0" w:type="dxa"/>
            <w:left w:w="108" w:type="dxa"/>
            <w:bottom w:w="0" w:type="dxa"/>
            <w:right w:w="108" w:type="dxa"/>
          </w:tblCellMar>
        </w:tblPrEx>
        <w:trPr>
          <w:jc w:val="center"/>
        </w:trPr>
        <w:tc>
          <w:tcPr>
            <w:tcW w:w="7408"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总分</w:t>
            </w:r>
          </w:p>
        </w:tc>
        <w:tc>
          <w:tcPr>
            <w:tcW w:w="650"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r>
              <w:rPr>
                <w:rFonts w:hint="eastAsia" w:ascii="仿宋_GB2312" w:eastAsia="仿宋_GB2312"/>
                <w:color w:val="000000"/>
                <w:sz w:val="20"/>
                <w:szCs w:val="20"/>
              </w:rPr>
              <w:t>100</w:t>
            </w:r>
          </w:p>
        </w:tc>
        <w:tc>
          <w:tcPr>
            <w:tcW w:w="837"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99.9</w:t>
            </w:r>
            <w:r>
              <w:rPr>
                <w:rFonts w:hint="default" w:ascii="仿宋_GB2312" w:eastAsia="仿宋_GB2312"/>
                <w:color w:val="000000"/>
                <w:sz w:val="20"/>
                <w:szCs w:val="20"/>
                <w:lang w:val="en-US" w:eastAsia="zh-CN"/>
              </w:rPr>
              <w:t>1</w:t>
            </w:r>
          </w:p>
        </w:tc>
        <w:tc>
          <w:tcPr>
            <w:tcW w:w="956"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color w:val="000000"/>
                <w:sz w:val="20"/>
                <w:szCs w:val="20"/>
              </w:rPr>
            </w:pPr>
          </w:p>
        </w:tc>
      </w:tr>
    </w:tbl>
    <w:p>
      <w:pPr>
        <w:rPr>
          <w:rFonts w:eastAsia="仿宋_GB2312"/>
          <w:sz w:val="18"/>
          <w:szCs w:val="18"/>
        </w:rPr>
      </w:pPr>
    </w:p>
    <w:p>
      <w:pPr>
        <w:rPr>
          <w:rFonts w:eastAsia="仿宋_GB2312"/>
          <w:sz w:val="18"/>
          <w:szCs w:val="18"/>
        </w:rPr>
      </w:pPr>
      <w:r>
        <w:rPr>
          <w:rFonts w:eastAsia="仿宋_GB2312"/>
          <w:sz w:val="18"/>
          <w:szCs w:val="18"/>
        </w:rPr>
        <w:t>备注：一个一级项目支出一张表。</w:t>
      </w:r>
    </w:p>
    <w:p>
      <w:pPr>
        <w:jc w:val="center"/>
        <w:rPr>
          <w:rFonts w:ascii="仿宋_GB2312" w:hAnsi="宋体" w:eastAsia="仿宋_GB2312" w:cs="黑体"/>
          <w:color w:val="000000"/>
          <w:kern w:val="0"/>
          <w:sz w:val="32"/>
          <w:szCs w:val="32"/>
        </w:rPr>
      </w:pPr>
    </w:p>
    <w:sectPr>
      <w:pgSz w:w="11906" w:h="16838"/>
      <w:pgMar w:top="2098" w:right="1531" w:bottom="1985" w:left="1531" w:header="851" w:footer="1588"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00"/>
    <w:family w:val="script"/>
    <w:pitch w:val="default"/>
    <w:sig w:usb0="00000000" w:usb1="00000000" w:usb2="0000001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hint="eastAsia" w:ascii="宋体"/>
        <w:sz w:val="28"/>
        <w:szCs w:val="28"/>
      </w:rPr>
    </w:pPr>
    <w:r>
      <w:rPr>
        <w:rStyle w:val="13"/>
        <w:rFonts w:hint="eastAsia" w:ascii="宋体"/>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 xml:space="preserve"> </w:t>
    </w:r>
    <w:r>
      <w:rPr>
        <w:rStyle w:val="13"/>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6971C"/>
    <w:multiLevelType w:val="singleLevel"/>
    <w:tmpl w:val="A5E6971C"/>
    <w:lvl w:ilvl="0" w:tentative="0">
      <w:start w:val="3"/>
      <w:numFmt w:val="chineseCounting"/>
      <w:suff w:val="nothing"/>
      <w:lvlText w:val="%1、"/>
      <w:lvlJc w:val="left"/>
      <w:rPr>
        <w:rFonts w:hint="eastAsia"/>
      </w:rPr>
    </w:lvl>
  </w:abstractNum>
  <w:abstractNum w:abstractNumId="1">
    <w:nsid w:val="C40FF8E0"/>
    <w:multiLevelType w:val="singleLevel"/>
    <w:tmpl w:val="C40FF8E0"/>
    <w:lvl w:ilvl="0" w:tentative="0">
      <w:start w:val="1"/>
      <w:numFmt w:val="decimal"/>
      <w:suff w:val="nothing"/>
      <w:lvlText w:val="%1、"/>
      <w:lvlJc w:val="left"/>
      <w:rPr>
        <w:rFonts w:hint="default"/>
        <w:highlight w:val="none"/>
      </w:rPr>
    </w:lvl>
  </w:abstractNum>
  <w:abstractNum w:abstractNumId="2">
    <w:nsid w:val="DF5FE598"/>
    <w:multiLevelType w:val="singleLevel"/>
    <w:tmpl w:val="DF5FE598"/>
    <w:lvl w:ilvl="0" w:tentative="0">
      <w:start w:val="8"/>
      <w:numFmt w:val="chineseCounting"/>
      <w:suff w:val="nothing"/>
      <w:lvlText w:val="%1、"/>
      <w:lvlJc w:val="left"/>
      <w:rPr>
        <w:rFonts w:hint="eastAsia"/>
      </w:rPr>
    </w:lvl>
  </w:abstractNum>
  <w:abstractNum w:abstractNumId="3">
    <w:nsid w:val="FDB77086"/>
    <w:multiLevelType w:val="singleLevel"/>
    <w:tmpl w:val="FDB77086"/>
    <w:lvl w:ilvl="0" w:tentative="0">
      <w:start w:val="2"/>
      <w:numFmt w:val="chineseCounting"/>
      <w:suff w:val="nothing"/>
      <w:lvlText w:val="（%1）"/>
      <w:lvlJc w:val="left"/>
      <w:rPr>
        <w:rFonts w:hint="eastAsia"/>
      </w:rPr>
    </w:lvl>
  </w:abstractNum>
  <w:abstractNum w:abstractNumId="4">
    <w:nsid w:val="FEA71E1C"/>
    <w:multiLevelType w:val="singleLevel"/>
    <w:tmpl w:val="FEA71E1C"/>
    <w:lvl w:ilvl="0" w:tentative="0">
      <w:start w:val="1"/>
      <w:numFmt w:val="chineseCounting"/>
      <w:suff w:val="nothing"/>
      <w:lvlText w:val="%1、"/>
      <w:lvlJc w:val="left"/>
      <w:rPr>
        <w:rFonts w:hint="eastAsia"/>
      </w:rPr>
    </w:lvl>
  </w:abstractNum>
  <w:abstractNum w:abstractNumId="5">
    <w:nsid w:val="FEBE216A"/>
    <w:multiLevelType w:val="singleLevel"/>
    <w:tmpl w:val="FEBE216A"/>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59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mFjNDFhNzcwYmFhZjg4M2UzNDkwYjljY2FkNGYifQ=="/>
  </w:docVars>
  <w:rsids>
    <w:rsidRoot w:val="00172A27"/>
    <w:rsid w:val="00017707"/>
    <w:rsid w:val="00030000"/>
    <w:rsid w:val="0003303B"/>
    <w:rsid w:val="0004493F"/>
    <w:rsid w:val="00075035"/>
    <w:rsid w:val="000924B2"/>
    <w:rsid w:val="000B22DE"/>
    <w:rsid w:val="000B2DB7"/>
    <w:rsid w:val="000B5001"/>
    <w:rsid w:val="000B5584"/>
    <w:rsid w:val="000D06F4"/>
    <w:rsid w:val="000D4AF4"/>
    <w:rsid w:val="0013569A"/>
    <w:rsid w:val="00156CC0"/>
    <w:rsid w:val="00160B07"/>
    <w:rsid w:val="001772EC"/>
    <w:rsid w:val="00204FC8"/>
    <w:rsid w:val="002102B3"/>
    <w:rsid w:val="0021148F"/>
    <w:rsid w:val="0022532A"/>
    <w:rsid w:val="00231C79"/>
    <w:rsid w:val="002370E4"/>
    <w:rsid w:val="00260D91"/>
    <w:rsid w:val="00265785"/>
    <w:rsid w:val="00282F1C"/>
    <w:rsid w:val="00293A0A"/>
    <w:rsid w:val="002A26A6"/>
    <w:rsid w:val="002B194C"/>
    <w:rsid w:val="002D0C76"/>
    <w:rsid w:val="002D3CE8"/>
    <w:rsid w:val="00331D18"/>
    <w:rsid w:val="003501B5"/>
    <w:rsid w:val="00356191"/>
    <w:rsid w:val="003A14FB"/>
    <w:rsid w:val="003A2560"/>
    <w:rsid w:val="003D7EAA"/>
    <w:rsid w:val="003E7C35"/>
    <w:rsid w:val="003E7EC4"/>
    <w:rsid w:val="0043139F"/>
    <w:rsid w:val="0045726B"/>
    <w:rsid w:val="004670F6"/>
    <w:rsid w:val="00474F5A"/>
    <w:rsid w:val="00480994"/>
    <w:rsid w:val="004A19BD"/>
    <w:rsid w:val="004D786C"/>
    <w:rsid w:val="005534D4"/>
    <w:rsid w:val="005B191B"/>
    <w:rsid w:val="00605B38"/>
    <w:rsid w:val="00607E1C"/>
    <w:rsid w:val="0061648C"/>
    <w:rsid w:val="006169B1"/>
    <w:rsid w:val="006324C4"/>
    <w:rsid w:val="00637988"/>
    <w:rsid w:val="00655D82"/>
    <w:rsid w:val="00661BE3"/>
    <w:rsid w:val="00680A52"/>
    <w:rsid w:val="006C039F"/>
    <w:rsid w:val="006E40CD"/>
    <w:rsid w:val="006E6782"/>
    <w:rsid w:val="006E6B10"/>
    <w:rsid w:val="00715B72"/>
    <w:rsid w:val="00724ADC"/>
    <w:rsid w:val="00732E06"/>
    <w:rsid w:val="007B1D84"/>
    <w:rsid w:val="007B5DB1"/>
    <w:rsid w:val="007C547B"/>
    <w:rsid w:val="007C73B3"/>
    <w:rsid w:val="007E32B0"/>
    <w:rsid w:val="007E5D6A"/>
    <w:rsid w:val="007F1129"/>
    <w:rsid w:val="00831A44"/>
    <w:rsid w:val="00832441"/>
    <w:rsid w:val="0089113F"/>
    <w:rsid w:val="008A1F68"/>
    <w:rsid w:val="008B57F4"/>
    <w:rsid w:val="008C209B"/>
    <w:rsid w:val="008C4061"/>
    <w:rsid w:val="008D1FDF"/>
    <w:rsid w:val="008D5C51"/>
    <w:rsid w:val="008F131B"/>
    <w:rsid w:val="009230DF"/>
    <w:rsid w:val="009445AE"/>
    <w:rsid w:val="009465BA"/>
    <w:rsid w:val="009970F8"/>
    <w:rsid w:val="009A4B1E"/>
    <w:rsid w:val="009B79D0"/>
    <w:rsid w:val="009C60CA"/>
    <w:rsid w:val="009E3264"/>
    <w:rsid w:val="00A01ED1"/>
    <w:rsid w:val="00A1344D"/>
    <w:rsid w:val="00A80DD2"/>
    <w:rsid w:val="00A81EF6"/>
    <w:rsid w:val="00AB7078"/>
    <w:rsid w:val="00AD3130"/>
    <w:rsid w:val="00B656BB"/>
    <w:rsid w:val="00BB5CCB"/>
    <w:rsid w:val="00BE3036"/>
    <w:rsid w:val="00BF626C"/>
    <w:rsid w:val="00C11800"/>
    <w:rsid w:val="00C351AF"/>
    <w:rsid w:val="00C6227D"/>
    <w:rsid w:val="00C95B73"/>
    <w:rsid w:val="00CA61A9"/>
    <w:rsid w:val="00CB38E2"/>
    <w:rsid w:val="00CC5923"/>
    <w:rsid w:val="00D93B34"/>
    <w:rsid w:val="00D946A2"/>
    <w:rsid w:val="00D97E83"/>
    <w:rsid w:val="00DA3F1E"/>
    <w:rsid w:val="00DA509B"/>
    <w:rsid w:val="00DA54D3"/>
    <w:rsid w:val="00DB4B37"/>
    <w:rsid w:val="00DC3353"/>
    <w:rsid w:val="00DF04D8"/>
    <w:rsid w:val="00E04D9D"/>
    <w:rsid w:val="00E15E55"/>
    <w:rsid w:val="00E245B7"/>
    <w:rsid w:val="00E3107B"/>
    <w:rsid w:val="00E333D9"/>
    <w:rsid w:val="00E4726C"/>
    <w:rsid w:val="00E55010"/>
    <w:rsid w:val="00E74F10"/>
    <w:rsid w:val="00E84C4C"/>
    <w:rsid w:val="00E8685F"/>
    <w:rsid w:val="00EC79E4"/>
    <w:rsid w:val="00F17404"/>
    <w:rsid w:val="00F31ADC"/>
    <w:rsid w:val="00F64CFF"/>
    <w:rsid w:val="00F77E74"/>
    <w:rsid w:val="00F85445"/>
    <w:rsid w:val="00F95FF1"/>
    <w:rsid w:val="00FB5286"/>
    <w:rsid w:val="00FB73F6"/>
    <w:rsid w:val="00FD30D9"/>
    <w:rsid w:val="02E87B9E"/>
    <w:rsid w:val="0D6211AF"/>
    <w:rsid w:val="0DB94C1E"/>
    <w:rsid w:val="0F2243E3"/>
    <w:rsid w:val="0F65BF40"/>
    <w:rsid w:val="0FBD6A66"/>
    <w:rsid w:val="173CABDC"/>
    <w:rsid w:val="18ED0413"/>
    <w:rsid w:val="1FBFEB38"/>
    <w:rsid w:val="26EBF1C5"/>
    <w:rsid w:val="2C22545B"/>
    <w:rsid w:val="2DFF5EE2"/>
    <w:rsid w:val="2EBDADEA"/>
    <w:rsid w:val="2EC55D8E"/>
    <w:rsid w:val="33F12FD2"/>
    <w:rsid w:val="34565655"/>
    <w:rsid w:val="36BF8D0D"/>
    <w:rsid w:val="399F3340"/>
    <w:rsid w:val="3AEF58E6"/>
    <w:rsid w:val="3B89B387"/>
    <w:rsid w:val="3BE730C2"/>
    <w:rsid w:val="3EBCFBB6"/>
    <w:rsid w:val="3EF59AF1"/>
    <w:rsid w:val="3FBEA907"/>
    <w:rsid w:val="3FE6739C"/>
    <w:rsid w:val="47BFBC54"/>
    <w:rsid w:val="4AAE5FAB"/>
    <w:rsid w:val="4C6EF6EE"/>
    <w:rsid w:val="4CB3D7EC"/>
    <w:rsid w:val="4DBEC805"/>
    <w:rsid w:val="4ED96853"/>
    <w:rsid w:val="55FB893F"/>
    <w:rsid w:val="56FB43D3"/>
    <w:rsid w:val="573F5869"/>
    <w:rsid w:val="5796BB0A"/>
    <w:rsid w:val="587A2AD1"/>
    <w:rsid w:val="59DEF249"/>
    <w:rsid w:val="5BB65A51"/>
    <w:rsid w:val="5BD308A2"/>
    <w:rsid w:val="5BFD2C52"/>
    <w:rsid w:val="5CF45479"/>
    <w:rsid w:val="5E741A4D"/>
    <w:rsid w:val="5EE58723"/>
    <w:rsid w:val="5F8818D4"/>
    <w:rsid w:val="5FCF970D"/>
    <w:rsid w:val="5FFFF447"/>
    <w:rsid w:val="62B50FDF"/>
    <w:rsid w:val="66FF8977"/>
    <w:rsid w:val="67BC32EF"/>
    <w:rsid w:val="67EBED05"/>
    <w:rsid w:val="67EFB146"/>
    <w:rsid w:val="6BFE6C6E"/>
    <w:rsid w:val="6CFBFA0A"/>
    <w:rsid w:val="6D7CF179"/>
    <w:rsid w:val="6DFBAA88"/>
    <w:rsid w:val="6DFEB97B"/>
    <w:rsid w:val="6F3FC8C7"/>
    <w:rsid w:val="6FA94A4C"/>
    <w:rsid w:val="6FAF7ABB"/>
    <w:rsid w:val="6FBDA8D7"/>
    <w:rsid w:val="6FBEC038"/>
    <w:rsid w:val="6FDB286C"/>
    <w:rsid w:val="6FEB2A01"/>
    <w:rsid w:val="727052E5"/>
    <w:rsid w:val="72CE4B50"/>
    <w:rsid w:val="732F4FF4"/>
    <w:rsid w:val="73DBCA94"/>
    <w:rsid w:val="74FE4123"/>
    <w:rsid w:val="777F14CF"/>
    <w:rsid w:val="77DE7013"/>
    <w:rsid w:val="77EE02EA"/>
    <w:rsid w:val="77FB1F2B"/>
    <w:rsid w:val="78C9145B"/>
    <w:rsid w:val="797703FE"/>
    <w:rsid w:val="79EFD939"/>
    <w:rsid w:val="79FBA526"/>
    <w:rsid w:val="79FF41ED"/>
    <w:rsid w:val="7ABFDA5F"/>
    <w:rsid w:val="7AFFF4E5"/>
    <w:rsid w:val="7B3BD2E6"/>
    <w:rsid w:val="7B580C40"/>
    <w:rsid w:val="7B73911D"/>
    <w:rsid w:val="7B932A75"/>
    <w:rsid w:val="7BD37CF1"/>
    <w:rsid w:val="7BDFCF60"/>
    <w:rsid w:val="7BF78D7B"/>
    <w:rsid w:val="7BFA4670"/>
    <w:rsid w:val="7CDD716F"/>
    <w:rsid w:val="7D59BF4E"/>
    <w:rsid w:val="7D6B1513"/>
    <w:rsid w:val="7DDF8E2F"/>
    <w:rsid w:val="7E135600"/>
    <w:rsid w:val="7E3F4EEC"/>
    <w:rsid w:val="7EB6307D"/>
    <w:rsid w:val="7EFDDA1E"/>
    <w:rsid w:val="7F4B4773"/>
    <w:rsid w:val="7F77F3B2"/>
    <w:rsid w:val="7FA3FAD4"/>
    <w:rsid w:val="7FAF65EF"/>
    <w:rsid w:val="7FBB3F3E"/>
    <w:rsid w:val="7FCF918A"/>
    <w:rsid w:val="7FEF79BC"/>
    <w:rsid w:val="7FF37FEC"/>
    <w:rsid w:val="7FF7C9C3"/>
    <w:rsid w:val="7FF7F416"/>
    <w:rsid w:val="7FF92FF0"/>
    <w:rsid w:val="7FFB5000"/>
    <w:rsid w:val="7FFE94EA"/>
    <w:rsid w:val="8A7B7AD2"/>
    <w:rsid w:val="967B1F0B"/>
    <w:rsid w:val="9D7F2D3A"/>
    <w:rsid w:val="9FBF23D3"/>
    <w:rsid w:val="A8FF2E3D"/>
    <w:rsid w:val="AB6FC06A"/>
    <w:rsid w:val="ADFA970B"/>
    <w:rsid w:val="AEFEF1FD"/>
    <w:rsid w:val="B4BE5FE6"/>
    <w:rsid w:val="B8F65D0D"/>
    <w:rsid w:val="B9FFAA80"/>
    <w:rsid w:val="BBFAB3AC"/>
    <w:rsid w:val="BD4BA7D4"/>
    <w:rsid w:val="BEEE37D2"/>
    <w:rsid w:val="BFBD0013"/>
    <w:rsid w:val="BFFADBAD"/>
    <w:rsid w:val="BFFC29CA"/>
    <w:rsid w:val="BFFFF6C5"/>
    <w:rsid w:val="BFFFFD5F"/>
    <w:rsid w:val="C47F7288"/>
    <w:rsid w:val="C4EE3696"/>
    <w:rsid w:val="CBEF2D07"/>
    <w:rsid w:val="D59EFFA0"/>
    <w:rsid w:val="D5D936F5"/>
    <w:rsid w:val="D7AB3AA2"/>
    <w:rsid w:val="D7DDE904"/>
    <w:rsid w:val="DA527D9A"/>
    <w:rsid w:val="DB6EDEBF"/>
    <w:rsid w:val="DBBD4FDC"/>
    <w:rsid w:val="DBBE95BE"/>
    <w:rsid w:val="DCAD403B"/>
    <w:rsid w:val="DEFDBBA1"/>
    <w:rsid w:val="DF97987E"/>
    <w:rsid w:val="DF9ECC39"/>
    <w:rsid w:val="DFFFB3B8"/>
    <w:rsid w:val="E3FA5B28"/>
    <w:rsid w:val="E67F6E6E"/>
    <w:rsid w:val="E9E930CF"/>
    <w:rsid w:val="EBDFC6D1"/>
    <w:rsid w:val="EDF64D78"/>
    <w:rsid w:val="EDFC0D45"/>
    <w:rsid w:val="EEFE37B6"/>
    <w:rsid w:val="EF6C8AB2"/>
    <w:rsid w:val="EFDD5556"/>
    <w:rsid w:val="F357AB47"/>
    <w:rsid w:val="F3F3AE5A"/>
    <w:rsid w:val="F77E984B"/>
    <w:rsid w:val="F7BFB329"/>
    <w:rsid w:val="FAFDC9F7"/>
    <w:rsid w:val="FB3B8CC6"/>
    <w:rsid w:val="FBDD41FE"/>
    <w:rsid w:val="FBF75DFD"/>
    <w:rsid w:val="FD7F0029"/>
    <w:rsid w:val="FDBBCB91"/>
    <w:rsid w:val="FDEBD7EB"/>
    <w:rsid w:val="FDF738A5"/>
    <w:rsid w:val="FDF91BB3"/>
    <w:rsid w:val="FDFE994E"/>
    <w:rsid w:val="FE6CB9E2"/>
    <w:rsid w:val="FEE2E028"/>
    <w:rsid w:val="FEE7B663"/>
    <w:rsid w:val="FEEF24A5"/>
    <w:rsid w:val="FEF7C6BB"/>
    <w:rsid w:val="FF0FD734"/>
    <w:rsid w:val="FF566971"/>
    <w:rsid w:val="FF5E26DD"/>
    <w:rsid w:val="FF7A109F"/>
    <w:rsid w:val="FFB5C3C8"/>
    <w:rsid w:val="FFB6E175"/>
    <w:rsid w:val="FFDF458A"/>
    <w:rsid w:val="FFDFE617"/>
    <w:rsid w:val="FFE5EEDC"/>
    <w:rsid w:val="FFEF8641"/>
    <w:rsid w:val="FFF71B32"/>
    <w:rsid w:val="FFFA5A6B"/>
    <w:rsid w:val="FFFDB702"/>
    <w:rsid w:val="FFFE548E"/>
    <w:rsid w:val="FFFFD7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6"/>
    <w:pPr>
      <w:ind w:firstLine="1041" w:firstLineChars="200"/>
      <w:jc w:val="left"/>
      <w:outlineLvl w:val="0"/>
    </w:pPr>
    <w:rPr>
      <w:rFonts w:ascii="方正小标宋简体" w:hAnsi="方正小标宋简体" w:eastAsia="黑体"/>
      <w:b/>
      <w:sz w:val="36"/>
    </w:rPr>
  </w:style>
  <w:style w:type="character" w:default="1" w:styleId="12">
    <w:name w:val="Default Paragraph Font"/>
    <w:qFormat/>
    <w:uiPriority w:val="0"/>
    <w:rPr>
      <w:rFonts w:ascii="Times New Roman" w:hAnsi="Times New Roman" w:eastAsia="仿宋_GB2312" w:cs="Times New Roman"/>
    </w:rPr>
  </w:style>
  <w:style w:type="table" w:default="1" w:styleId="11">
    <w:name w:val="Normal Table"/>
    <w:qFormat/>
    <w:uiPriority w:val="0"/>
    <w:rPr>
      <w:rFonts w:ascii="Times New Roman" w:hAnsi="Times New Roman" w:eastAsia="仿宋_GB2312" w:cs="Times New Roman"/>
    </w:rPr>
    <w:tblPr>
      <w:tblCellMar>
        <w:top w:w="0" w:type="dxa"/>
        <w:left w:w="108" w:type="dxa"/>
        <w:bottom w:w="0" w:type="dxa"/>
        <w:right w:w="108" w:type="dxa"/>
      </w:tblCellMar>
    </w:tblPr>
  </w:style>
  <w:style w:type="paragraph" w:styleId="3">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4">
    <w:name w:val="Body Text"/>
    <w:basedOn w:val="1"/>
    <w:qFormat/>
    <w:uiPriority w:val="0"/>
    <w:pPr>
      <w:spacing w:line="400" w:lineRule="atLeast"/>
    </w:pPr>
    <w:rPr>
      <w:rFonts w:ascii="楷体_GB2312" w:hAnsi="Times New Roman" w:eastAsia="楷体_GB2312" w:cs="Times New Roman"/>
      <w:sz w:val="32"/>
    </w:rPr>
  </w:style>
  <w:style w:type="paragraph" w:styleId="5">
    <w:name w:val="Body Text Indent"/>
    <w:basedOn w:val="1"/>
    <w:qFormat/>
    <w:uiPriority w:val="0"/>
    <w:pPr>
      <w:spacing w:line="360" w:lineRule="auto"/>
      <w:ind w:firstLine="200" w:firstLineChars="200"/>
    </w:pPr>
    <w:rPr>
      <w:rFonts w:ascii="方正仿宋_GBK" w:hAnsi="Times New Roman" w:eastAsia="方正仿宋_GBK" w:cs="Times New Roman"/>
      <w:sz w:val="30"/>
    </w:rPr>
  </w:style>
  <w:style w:type="paragraph" w:styleId="6">
    <w:name w:val="Date"/>
    <w:basedOn w:val="1"/>
    <w:next w:val="1"/>
    <w:link w:val="14"/>
    <w:qFormat/>
    <w:uiPriority w:val="0"/>
    <w:pPr>
      <w:ind w:left="100" w:leftChars="2500"/>
    </w:pPr>
    <w:rPr>
      <w:rFonts w:ascii="Times New Roman" w:hAnsi="Times New Roman" w:eastAsia="仿宋_GB2312" w:cs="Times New Roman"/>
    </w:rPr>
  </w:style>
  <w:style w:type="paragraph" w:styleId="7">
    <w:name w:val="Balloon Text"/>
    <w:basedOn w:val="1"/>
    <w:qFormat/>
    <w:uiPriority w:val="0"/>
    <w:rPr>
      <w:rFonts w:ascii="Times New Roman" w:hAnsi="Times New Roman" w:eastAsia="仿宋_GB2312" w:cs="Times New Roman"/>
      <w:sz w:val="18"/>
      <w:szCs w:val="18"/>
    </w:rPr>
  </w:style>
  <w:style w:type="paragraph" w:styleId="8">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10">
    <w:name w:val="Normal (Web)"/>
    <w:basedOn w:val="1"/>
    <w:qFormat/>
    <w:uiPriority w:val="0"/>
    <w:pPr>
      <w:widowControl/>
      <w:spacing w:before="100" w:beforeAutospacing="1" w:after="100" w:afterAutospacing="1"/>
      <w:jc w:val="left"/>
    </w:pPr>
    <w:rPr>
      <w:rFonts w:ascii="宋体" w:hAnsi="Times New Roman" w:eastAsia="仿宋_GB2312" w:cs="Times New Roman"/>
      <w:color w:val="000000"/>
      <w:kern w:val="0"/>
      <w:sz w:val="24"/>
    </w:rPr>
  </w:style>
  <w:style w:type="character" w:styleId="13">
    <w:name w:val="page number"/>
    <w:qFormat/>
    <w:uiPriority w:val="0"/>
    <w:rPr>
      <w:rFonts w:ascii="Times New Roman" w:hAnsi="Times New Roman" w:eastAsia="仿宋_GB2312" w:cs="Times New Roman"/>
    </w:rPr>
  </w:style>
  <w:style w:type="character" w:customStyle="1" w:styleId="14">
    <w:name w:val="日期 字符"/>
    <w:link w:val="6"/>
    <w:qFormat/>
    <w:uiPriority w:val="0"/>
    <w:rPr>
      <w:rFonts w:ascii="Times New Roman" w:hAnsi="Times New Roman" w:eastAsia="宋体" w:cs="Times New Roman"/>
      <w:kern w:val="2"/>
      <w:sz w:val="21"/>
      <w:szCs w:val="24"/>
    </w:rPr>
  </w:style>
  <w:style w:type="paragraph" w:customStyle="1" w:styleId="1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6">
    <w:name w:val="List Paragraph"/>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customStyle="1" w:styleId="17">
    <w:name w:val="正文文字"/>
    <w:basedOn w:val="3"/>
    <w:next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Company>
  <Pages>42</Pages>
  <Words>8579</Words>
  <Characters>9501</Characters>
  <Lines>90</Lines>
  <Paragraphs>25</Paragraphs>
  <TotalTime>3</TotalTime>
  <ScaleCrop>false</ScaleCrop>
  <LinksUpToDate>false</LinksUpToDate>
  <CharactersWithSpaces>10399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2023-09-02T05:48:00Z</dcterms:created>
  <dc:creator>lzlyc</dc:creator>
  <cp:lastModifiedBy>颜涛</cp:lastModifiedBy>
  <cp:lastPrinted>2024-09-18T11:03:00Z</cp:lastPrinted>
  <dcterms:modified xsi:type="dcterms:W3CDTF">2024-10-15T07:38:18Z</dcterms:modified>
  <dc:title>此件拟比照国务院办公厅发文由省政府办公厅转发</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1B8FFAC028F2479E90AD1250E5517035_13</vt:lpwstr>
  </property>
</Properties>
</file>