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ascii="黑体" w:hAnsi="宋体" w:eastAsia="黑体" w:cs="黑体"/>
          <w:b w:val="0"/>
          <w:i w:val="0"/>
          <w:caps w:val="0"/>
          <w:color w:val="333333"/>
          <w:spacing w:val="0"/>
          <w:kern w:val="0"/>
          <w:sz w:val="32"/>
          <w:szCs w:val="32"/>
          <w:bdr w:val="none" w:color="auto" w:sz="0" w:space="0"/>
          <w:shd w:val="clear" w:fill="FFFFFF"/>
          <w:lang w:val="en-US" w:eastAsia="zh-CN" w:bidi="ar"/>
        </w:rPr>
        <w:t>附件</w:t>
      </w: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pPr>
      <w:r>
        <w:rPr>
          <w:rFonts w:ascii="方正小标宋简体" w:hAnsi="方正小标宋简体" w:eastAsia="方正小标宋简体" w:cs="方正小标宋简体"/>
          <w:b w:val="0"/>
          <w:i w:val="0"/>
          <w:caps w:val="0"/>
          <w:color w:val="333333"/>
          <w:spacing w:val="0"/>
          <w:kern w:val="0"/>
          <w:sz w:val="44"/>
          <w:szCs w:val="44"/>
          <w:bdr w:val="none" w:color="auto" w:sz="0" w:space="0"/>
          <w:shd w:val="clear" w:fill="FFFFFF"/>
          <w:lang w:val="en-US" w:eastAsia="zh-CN" w:bidi="ar"/>
        </w:rPr>
        <w:t>201</w:t>
      </w:r>
      <w:r>
        <w:rPr>
          <w:rFonts w:hint="eastAsia" w:ascii="方正小标宋简体" w:hAnsi="方正小标宋简体" w:eastAsia="方正小标宋简体" w:cs="方正小标宋简体"/>
          <w:b w:val="0"/>
          <w:i w:val="0"/>
          <w:caps w:val="0"/>
          <w:color w:val="333333"/>
          <w:spacing w:val="0"/>
          <w:kern w:val="0"/>
          <w:sz w:val="44"/>
          <w:szCs w:val="44"/>
          <w:bdr w:val="none" w:color="auto" w:sz="0" w:space="0"/>
          <w:shd w:val="clear" w:fill="FFFFFF"/>
          <w:lang w:val="en-US" w:eastAsia="zh-CN" w:bidi="ar"/>
        </w:rPr>
        <w:t>9部门整体支出绩效目标申报表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ascii="仿宋_GB2312" w:hAnsi="微软雅黑" w:eastAsia="仿宋_GB2312" w:cs="仿宋_GB2312"/>
          <w:b w:val="0"/>
          <w:i w:val="0"/>
          <w:caps w:val="0"/>
          <w:color w:val="333333"/>
          <w:spacing w:val="0"/>
          <w:kern w:val="0"/>
          <w:sz w:val="24"/>
          <w:szCs w:val="24"/>
          <w:bdr w:val="none" w:color="auto" w:sz="0" w:space="0"/>
          <w:shd w:val="clear" w:fill="FFFFFF"/>
          <w:lang w:val="en-US" w:eastAsia="zh-CN" w:bidi="ar"/>
        </w:rPr>
        <w:t>填报单位（盖章）株洲职业教育科技园管理办公室</w:t>
      </w:r>
    </w:p>
    <w:tbl>
      <w:tblPr>
        <w:tblW w:w="8720" w:type="dxa"/>
        <w:jc w:val="center"/>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80"/>
        <w:gridCol w:w="1080"/>
        <w:gridCol w:w="915"/>
        <w:gridCol w:w="5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1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4"/>
                <w:szCs w:val="24"/>
                <w:bdr w:val="none" w:color="auto" w:sz="0" w:space="0"/>
                <w:lang w:val="en-US" w:eastAsia="zh-CN" w:bidi="ar"/>
              </w:rPr>
              <w:t>部门名称</w:t>
            </w:r>
          </w:p>
        </w:tc>
        <w:tc>
          <w:tcPr>
            <w:tcW w:w="65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4"/>
                <w:szCs w:val="24"/>
                <w:bdr w:val="none" w:color="auto" w:sz="0" w:space="0"/>
                <w:lang w:val="en-US" w:eastAsia="zh-CN" w:bidi="ar"/>
              </w:rPr>
              <w:t>株洲职业教育科技园管理办公室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60" w:type="dxa"/>
            <w:gridSpan w:val="2"/>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4"/>
                <w:szCs w:val="24"/>
                <w:bdr w:val="none" w:color="auto" w:sz="0" w:space="0"/>
                <w:lang w:val="en-US" w:eastAsia="zh-CN" w:bidi="ar"/>
              </w:rPr>
              <w:t>201</w:t>
            </w:r>
            <w:r>
              <w:rPr>
                <w:rFonts w:hint="eastAsia" w:ascii="仿宋_GB2312" w:eastAsia="仿宋_GB2312" w:cs="仿宋_GB2312"/>
                <w:kern w:val="0"/>
                <w:sz w:val="24"/>
                <w:szCs w:val="24"/>
                <w:bdr w:val="none" w:color="auto" w:sz="0" w:space="0"/>
                <w:lang w:val="en-US" w:eastAsia="zh-CN" w:bidi="ar"/>
              </w:rPr>
              <w:t>9</w:t>
            </w:r>
            <w:r>
              <w:rPr>
                <w:rFonts w:hint="eastAsia" w:ascii="仿宋_GB2312" w:eastAsia="仿宋_GB2312" w:cs="仿宋_GB2312" w:hAnsiTheme="minorHAnsi"/>
                <w:kern w:val="0"/>
                <w:sz w:val="24"/>
                <w:szCs w:val="24"/>
                <w:bdr w:val="none" w:color="auto" w:sz="0" w:space="0"/>
                <w:lang w:val="en-US" w:eastAsia="zh-CN" w:bidi="ar"/>
              </w:rPr>
              <w:t>年预算申请</w:t>
            </w:r>
          </w:p>
        </w:tc>
        <w:tc>
          <w:tcPr>
            <w:tcW w:w="65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支出资金总额：</w:t>
            </w:r>
            <w:r>
              <w:rPr>
                <w:rFonts w:hint="eastAsia" w:ascii="仿宋_GB2312" w:eastAsia="仿宋_GB2312" w:cs="仿宋_GB2312"/>
                <w:kern w:val="0"/>
                <w:sz w:val="24"/>
                <w:szCs w:val="24"/>
                <w:bdr w:val="none" w:color="auto" w:sz="0" w:space="0"/>
                <w:lang w:val="en-US" w:eastAsia="zh-CN" w:bidi="ar"/>
              </w:rPr>
              <w:t>379.50</w:t>
            </w:r>
            <w:r>
              <w:rPr>
                <w:rFonts w:hint="eastAsia" w:ascii="仿宋_GB2312" w:eastAsia="仿宋_GB2312" w:cs="仿宋_GB2312" w:hAnsiTheme="minorHAnsi"/>
                <w:kern w:val="0"/>
                <w:sz w:val="24"/>
                <w:szCs w:val="24"/>
                <w:bdr w:val="none" w:color="auto" w:sz="0" w:space="0"/>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5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其中：   基本支出：</w:t>
            </w:r>
            <w:r>
              <w:rPr>
                <w:rFonts w:hint="eastAsia" w:ascii="仿宋_GB2312" w:eastAsia="仿宋_GB2312" w:cs="仿宋_GB2312"/>
                <w:kern w:val="0"/>
                <w:sz w:val="24"/>
                <w:szCs w:val="24"/>
                <w:bdr w:val="none" w:color="auto" w:sz="0" w:space="0"/>
                <w:lang w:val="en-US" w:eastAsia="zh-CN" w:bidi="ar"/>
              </w:rPr>
              <w:t>379.50</w:t>
            </w:r>
            <w:r>
              <w:rPr>
                <w:rFonts w:hint="eastAsia" w:ascii="仿宋_GB2312" w:eastAsia="仿宋_GB2312" w:cs="仿宋_GB2312" w:hAnsiTheme="minorHAnsi"/>
                <w:kern w:val="0"/>
                <w:sz w:val="24"/>
                <w:szCs w:val="24"/>
                <w:bdr w:val="none" w:color="auto" w:sz="0" w:space="0"/>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5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         项目支出：0万元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60" w:type="dxa"/>
            <w:gridSpan w:val="2"/>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4"/>
                <w:szCs w:val="24"/>
                <w:bdr w:val="none" w:color="auto" w:sz="0" w:space="0"/>
                <w:lang w:val="en-US" w:eastAsia="zh-CN" w:bidi="ar"/>
              </w:rPr>
              <w:t>整体绩效目标</w:t>
            </w:r>
          </w:p>
        </w:tc>
        <w:tc>
          <w:tcPr>
            <w:tcW w:w="65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1.科学谋划园区发展，做好园区规划管理工作。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5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2.着力园区资源共享，搭建共享平台，服务入园院校师生。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5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3.着力推动园区产教融合。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5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4.加强园区社会事务管理，确保园区有序发展和不断优化办学环境。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5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5.推动院校建设进程。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5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6.提升园区品牌效应。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60" w:type="dxa"/>
            <w:gridSpan w:val="2"/>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部门整体支出年度绩效指标</w:t>
            </w:r>
          </w:p>
        </w:tc>
        <w:tc>
          <w:tcPr>
            <w:tcW w:w="91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产出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指标</w:t>
            </w:r>
          </w:p>
        </w:tc>
        <w:tc>
          <w:tcPr>
            <w:tcW w:w="5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仿宋_GB2312" w:eastAsia="仿宋_GB2312" w:cs="仿宋_GB2312" w:hAnsiTheme="minorHAnsi"/>
                <w:kern w:val="0"/>
                <w:sz w:val="24"/>
                <w:szCs w:val="24"/>
                <w:bdr w:val="none" w:color="auto" w:sz="0" w:space="0"/>
                <w:lang w:val="en-US" w:eastAsia="zh-CN" w:bidi="ar"/>
              </w:rPr>
            </w:pPr>
            <w:r>
              <w:rPr>
                <w:rFonts w:hint="eastAsia" w:ascii="仿宋_GB2312" w:eastAsia="仿宋_GB2312" w:cs="仿宋_GB2312" w:hAnsiTheme="minorHAnsi"/>
                <w:kern w:val="0"/>
                <w:sz w:val="24"/>
                <w:szCs w:val="24"/>
                <w:bdr w:val="none" w:color="auto" w:sz="0" w:space="0"/>
                <w:lang w:val="en-US" w:eastAsia="zh-CN" w:bidi="ar"/>
              </w:rPr>
              <w:t>指标1：突出项目带动，服务院校发展。一是科学谋划园区发展，做好园区顶层设计调整方案。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仿宋_GB2312" w:eastAsia="仿宋_GB2312" w:cs="仿宋_GB2312" w:hAnsiTheme="minorHAnsi"/>
                <w:kern w:val="0"/>
                <w:sz w:val="24"/>
                <w:szCs w:val="24"/>
                <w:bdr w:val="none" w:color="auto" w:sz="0" w:space="0"/>
                <w:lang w:val="en-US" w:eastAsia="zh-CN" w:bidi="ar"/>
              </w:rPr>
              <w:t>二是加快建设铁道职院。三是配合株洲产教融合试点城市争取工作。四是配合研究解决各院校老校区资产处置和新校区建设中的遗留问题。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1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仿宋_GB2312" w:eastAsia="仿宋_GB2312" w:cs="仿宋_GB2312" w:hAnsiTheme="minorHAnsi"/>
                <w:kern w:val="0"/>
                <w:sz w:val="24"/>
                <w:szCs w:val="24"/>
                <w:bdr w:val="none" w:color="auto" w:sz="0" w:space="0"/>
                <w:lang w:val="en-US" w:eastAsia="zh-CN" w:bidi="ar"/>
              </w:rPr>
              <w:t>指标2：深化校企合作和产教融合，加快建成湖南（株洲）职教城。一是推行产教融合人才培养培训机制，在园区开展“双师”工作室建设工作；二是组织湖南（株洲）“职教杯”系列竞赛活动。。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1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仿宋_GB2312" w:eastAsia="仿宋_GB2312" w:cs="仿宋_GB2312" w:hAnsiTheme="minorHAnsi"/>
                <w:kern w:val="0"/>
                <w:sz w:val="24"/>
                <w:szCs w:val="24"/>
                <w:bdr w:val="none" w:color="auto" w:sz="0" w:space="0"/>
                <w:lang w:val="en-US" w:eastAsia="zh-CN" w:bidi="ar"/>
              </w:rPr>
              <w:t>指标3：突出共建共享，搭建园区各类平台。一是加快信息化资源共享“五个一”工程建设进度；二是搭建以“五联”工作机制为抓手的综治安全管理平台；三是搭建以国家级、省级、市级实操实训中心和竞赛比武基地为主体的公共实训平台；四是搭建以各级“双创”基地为阵营的服务园区师生和中小企业的就业创业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1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645"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eastAsia="仿宋_GB2312" w:cs="仿宋_GB2312" w:hAnsiTheme="minorHAnsi"/>
                <w:kern w:val="0"/>
                <w:sz w:val="24"/>
                <w:szCs w:val="24"/>
                <w:bdr w:val="none" w:color="auto" w:sz="0" w:space="0"/>
                <w:lang w:val="en-US" w:eastAsia="zh-CN" w:bidi="ar"/>
              </w:rPr>
            </w:pPr>
            <w:r>
              <w:rPr>
                <w:rFonts w:hint="eastAsia" w:ascii="仿宋_GB2312" w:eastAsia="仿宋_GB2312" w:cs="仿宋_GB2312" w:hAnsiTheme="minorHAnsi"/>
                <w:kern w:val="0"/>
                <w:sz w:val="24"/>
                <w:szCs w:val="24"/>
                <w:bdr w:val="none" w:color="auto" w:sz="0" w:space="0"/>
                <w:lang w:val="en-US" w:eastAsia="zh-CN" w:bidi="ar"/>
              </w:rPr>
              <w:t xml:space="preserve">指标5：突出联防联控，创建文明和谐园区。一是抓好园区社会治理联席会议工作机制；二是做好园区春秋两季开学工作专项检查，深化平安校园建设；三是加强禁毒工作宣传；四是开展食品安全知识宣传和不定期检查，预防学生食物中毒事件发生；五是加强园区健康教育服务，切实降低学生自杀和艾滋病、结核病等传染病的发生率；六是开展督促园区各单位认真做好环境卫生、市政设施及园林绿化维护管理等工作。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1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1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4"/>
                <w:szCs w:val="24"/>
                <w:bdr w:val="none" w:color="auto" w:sz="0" w:space="0"/>
                <w:lang w:val="en-US" w:eastAsia="zh-CN" w:bidi="ar"/>
              </w:rPr>
              <w:t>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4"/>
                <w:szCs w:val="24"/>
                <w:bdr w:val="none" w:color="auto" w:sz="0" w:space="0"/>
                <w:lang w:val="en-US" w:eastAsia="zh-CN" w:bidi="ar"/>
              </w:rPr>
              <w:t>指标</w:t>
            </w:r>
          </w:p>
        </w:tc>
        <w:tc>
          <w:tcPr>
            <w:tcW w:w="5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仿宋_GB2312" w:eastAsia="仿宋_GB2312" w:cs="仿宋_GB2312" w:hAnsiTheme="minorHAnsi"/>
                <w:kern w:val="0"/>
                <w:sz w:val="24"/>
                <w:szCs w:val="24"/>
                <w:bdr w:val="none" w:color="auto" w:sz="0" w:space="0"/>
                <w:lang w:val="en-US" w:eastAsia="zh-CN" w:bidi="ar"/>
              </w:rPr>
              <w:t>指标1：借力攻坚项目，跟进在建项目进度，掌握各院校发展情况，确保市三所院校2018年秋季入学。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仿宋_GB2312" w:eastAsia="仿宋_GB2312" w:cs="仿宋_GB2312" w:hAnsiTheme="minorHAnsi"/>
                <w:kern w:val="0"/>
                <w:sz w:val="24"/>
                <w:szCs w:val="24"/>
                <w:bdr w:val="none" w:color="auto" w:sz="0" w:space="0"/>
                <w:lang w:val="en-US" w:eastAsia="zh-CN" w:bidi="ar"/>
              </w:rPr>
              <w:t>与市委、市政府督查室加强沟通，推动市直各部门积极作为，对院校的后期建设情况以市委名义开展书面督查、明查等多形式的专项督查，加快项目建设进程，协调重点项目建设，重点协调推进智慧广场（图书馆等项目）建设进度。除规划形成全面详细的方案文本外，还积极与市、区相关部门协调，在制定经济社会发展规划、城乡建设规划、土地利用总体规划时，把院校及附属重点项目建设和发展纳入其中，依法保障园区院校及设施建设用地。同时尽可能帮助院校落实税收和规费减免优惠政策，为院校争取更多资源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1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仿宋_GB2312" w:eastAsia="仿宋_GB2312" w:cs="仿宋_GB2312" w:hAnsiTheme="minorHAnsi"/>
                <w:kern w:val="0"/>
                <w:sz w:val="24"/>
                <w:szCs w:val="24"/>
                <w:bdr w:val="none" w:color="auto" w:sz="0" w:space="0"/>
                <w:lang w:val="en-US" w:eastAsia="zh-CN" w:bidi="ar"/>
              </w:rPr>
              <w:t>指标2：突出产教融合，充分发挥职业院校人才、技术的聚集效应，打通“政校企”沟通渠道，坚持“产学研”协同发展，积极推动产教融合。①：争取实现1-2个省级项目基地、创新就业项目落户园区，力争在今年将职教园省“双创”示范基地申请变为全国的“双创”基地；②：积极探索“职教杯”等技能大赛与园区建设互动机制，争取申请1-2个国家级、省级技能比赛在园区举行，打造区域职业院校技能大赛新名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1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6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仿宋_GB2312" w:eastAsia="仿宋_GB2312" w:cs="仿宋_GB2312" w:hAnsiTheme="minorHAnsi"/>
                <w:kern w:val="0"/>
                <w:sz w:val="24"/>
                <w:szCs w:val="24"/>
                <w:bdr w:val="none" w:color="auto" w:sz="0" w:space="0"/>
                <w:lang w:val="en-US" w:eastAsia="zh-CN" w:bidi="ar"/>
              </w:rPr>
            </w:pPr>
            <w:r>
              <w:rPr>
                <w:rFonts w:hint="eastAsia" w:ascii="仿宋_GB2312" w:eastAsia="仿宋_GB2312" w:cs="仿宋_GB2312" w:hAnsiTheme="minorHAnsi"/>
                <w:kern w:val="0"/>
                <w:sz w:val="24"/>
                <w:szCs w:val="24"/>
                <w:bdr w:val="none" w:color="auto" w:sz="0" w:space="0"/>
                <w:lang w:val="en-US" w:eastAsia="zh-CN" w:bidi="ar"/>
              </w:rPr>
              <w:t>指标3：以信息化手段实现职教资源共享，构建园区职业教育发展立交桥。在园区资源共享“五个一”扩展为“十个一”。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仿宋_GB2312" w:eastAsia="仿宋_GB2312" w:cs="仿宋_GB2312" w:hAnsiTheme="minorHAnsi"/>
                <w:kern w:val="0"/>
                <w:sz w:val="24"/>
                <w:szCs w:val="24"/>
                <w:bdr w:val="none" w:color="auto" w:sz="0" w:space="0"/>
                <w:lang w:val="en-US" w:eastAsia="zh-CN" w:bidi="ar"/>
              </w:rPr>
            </w:pPr>
            <w:r>
              <w:rPr>
                <w:rFonts w:hint="eastAsia" w:ascii="仿宋_GB2312" w:eastAsia="仿宋_GB2312" w:cs="仿宋_GB2312"/>
                <w:kern w:val="0"/>
                <w:sz w:val="24"/>
                <w:szCs w:val="24"/>
                <w:bdr w:val="none" w:color="auto" w:sz="0" w:space="0"/>
                <w:lang w:val="en-US" w:eastAsia="zh-CN" w:bidi="ar"/>
              </w:rPr>
              <w:t>指标4：</w:t>
            </w:r>
            <w:bookmarkStart w:id="0" w:name="_GoBack"/>
            <w:bookmarkEnd w:id="0"/>
            <w:r>
              <w:rPr>
                <w:rFonts w:hint="eastAsia" w:ascii="仿宋_GB2312" w:eastAsia="仿宋_GB2312" w:cs="仿宋_GB2312" w:hAnsiTheme="minorHAnsi"/>
                <w:kern w:val="0"/>
                <w:sz w:val="24"/>
                <w:szCs w:val="24"/>
                <w:bdr w:val="none" w:color="auto" w:sz="0" w:space="0"/>
                <w:lang w:val="en-US" w:eastAsia="zh-CN" w:bidi="ar"/>
              </w:rPr>
              <w:t>实现园区在校学生8万余人，年培训职工15万人次。实现学历教育毕业学生人数2万余人，实现毕业生就业率为95%以上，且60%毕业生就职于湖南地区。其中，60%毕业生就职于株洲。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8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财政部门审核意见</w:t>
            </w:r>
          </w:p>
        </w:tc>
        <w:tc>
          <w:tcPr>
            <w:tcW w:w="7640"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归口业务科室意见：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                                                  （盖章）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8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640"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绩效管理科意见 ：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                                                 （盖章）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pPr>
      <w:r>
        <w:rPr>
          <w:rFonts w:hint="eastAsia" w:ascii="仿宋_GB2312" w:hAnsi="微软雅黑" w:eastAsia="仿宋_GB2312" w:cs="仿宋_GB2312"/>
          <w:b w:val="0"/>
          <w:i w:val="0"/>
          <w:caps w:val="0"/>
          <w:color w:val="333333"/>
          <w:spacing w:val="0"/>
          <w:kern w:val="0"/>
          <w:sz w:val="24"/>
          <w:szCs w:val="24"/>
          <w:bdr w:val="none" w:color="auto" w:sz="0" w:space="0"/>
          <w:shd w:val="clear" w:fill="FFFFFF"/>
          <w:lang w:val="en-US" w:eastAsia="zh-CN" w:bidi="ar"/>
        </w:rPr>
        <w:t>填报人:彭银     联系电话：28685937     填报日期：2018年4月15日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C115CA"/>
    <w:rsid w:val="3B2B6D8A"/>
    <w:rsid w:val="6AC115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2019-12-03T09:29:00Z</dcterms:created>
  <dc:creator>Administrator</dc:creator>
  <cp:lastModifiedBy>Administrator</cp:lastModifiedBy>
  <dcterms:modified xsi:type="dcterms:W3CDTF">2019-12-03T09:38:35Z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